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BEB" w:rsidRPr="006F1877" w:rsidRDefault="00C30BEB" w:rsidP="00881990">
      <w:pPr>
        <w:spacing w:line="360" w:lineRule="auto"/>
        <w:ind w:left="851" w:right="566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6F1877">
        <w:rPr>
          <w:rFonts w:ascii="Times New Roman" w:hAnsi="Times New Roman" w:cs="Times New Roman"/>
          <w:b/>
          <w:caps/>
          <w:sz w:val="24"/>
          <w:szCs w:val="24"/>
        </w:rPr>
        <w:t xml:space="preserve">Il trapianto di midollo osseo da donatore familiare non compatibile nei pazienti affetti </w:t>
      </w:r>
      <w:r w:rsidR="00705177" w:rsidRPr="006F1877">
        <w:rPr>
          <w:rFonts w:ascii="Times New Roman" w:hAnsi="Times New Roman" w:cs="Times New Roman"/>
          <w:b/>
          <w:caps/>
          <w:sz w:val="24"/>
          <w:szCs w:val="24"/>
        </w:rPr>
        <w:t xml:space="preserve">da </w:t>
      </w:r>
      <w:r w:rsidRPr="006F1877">
        <w:rPr>
          <w:rFonts w:ascii="Times New Roman" w:hAnsi="Times New Roman" w:cs="Times New Roman"/>
          <w:b/>
          <w:caps/>
          <w:sz w:val="24"/>
          <w:szCs w:val="24"/>
        </w:rPr>
        <w:t>malattie ematolog</w:t>
      </w:r>
      <w:r w:rsidR="009541EB" w:rsidRPr="006F1877">
        <w:rPr>
          <w:rFonts w:ascii="Times New Roman" w:hAnsi="Times New Roman" w:cs="Times New Roman"/>
          <w:b/>
          <w:caps/>
          <w:sz w:val="24"/>
          <w:szCs w:val="24"/>
        </w:rPr>
        <w:t>iche maligne a cattiva prognosi</w:t>
      </w:r>
      <w:r w:rsidR="00EA6DB2" w:rsidRPr="006F1877">
        <w:rPr>
          <w:rFonts w:ascii="Times New Roman" w:hAnsi="Times New Roman" w:cs="Times New Roman"/>
          <w:b/>
          <w:caps/>
          <w:sz w:val="24"/>
          <w:szCs w:val="24"/>
        </w:rPr>
        <w:t>.</w:t>
      </w:r>
    </w:p>
    <w:p w:rsidR="009541EB" w:rsidRPr="006F1877" w:rsidRDefault="009541EB" w:rsidP="00881990">
      <w:pPr>
        <w:spacing w:line="360" w:lineRule="auto"/>
        <w:ind w:left="851" w:right="566"/>
        <w:jc w:val="both"/>
        <w:rPr>
          <w:rFonts w:ascii="Times New Roman" w:hAnsi="Times New Roman" w:cs="Times New Roman"/>
          <w:b/>
          <w:caps/>
          <w:sz w:val="24"/>
          <w:szCs w:val="24"/>
          <w:lang w:val="en-US"/>
        </w:rPr>
      </w:pPr>
      <w:r w:rsidRPr="006F1877">
        <w:rPr>
          <w:rFonts w:ascii="Times New Roman" w:hAnsi="Times New Roman" w:cs="Times New Roman"/>
          <w:b/>
          <w:caps/>
          <w:sz w:val="24"/>
          <w:szCs w:val="24"/>
          <w:lang w:val="en-US"/>
        </w:rPr>
        <w:t>BONE MARROW TRANSPLANTATION FROM HAPLOIDENTICAL RELATED  DONOR IN PATIENTS WITH ADVANCED HEMATOLOGICAL DISEASES.</w:t>
      </w:r>
    </w:p>
    <w:p w:rsidR="00F523BF" w:rsidRPr="006F1877" w:rsidRDefault="00F523BF" w:rsidP="00881990">
      <w:pPr>
        <w:spacing w:before="100" w:beforeAutospacing="1" w:after="100" w:afterAutospacing="1" w:line="240" w:lineRule="auto"/>
        <w:ind w:left="851" w:right="566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F1877">
        <w:rPr>
          <w:rFonts w:ascii="Times New Roman" w:eastAsia="Times New Roman" w:hAnsi="Times New Roman" w:cs="Times New Roman"/>
          <w:b/>
          <w:bCs/>
          <w:sz w:val="24"/>
          <w:szCs w:val="24"/>
        </w:rPr>
        <w:t>AUTORI:</w:t>
      </w:r>
      <w:r w:rsidRPr="006F1877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Messina G.</w:t>
      </w:r>
      <w:r w:rsidRPr="00DD3FFE"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6F18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; </w:t>
      </w:r>
      <w:r w:rsidRPr="006F1877">
        <w:rPr>
          <w:rFonts w:ascii="Times New Roman" w:hAnsi="Times New Roman" w:cs="Times New Roman"/>
          <w:b/>
          <w:sz w:val="24"/>
          <w:szCs w:val="24"/>
        </w:rPr>
        <w:t>Said Al Sayyad</w:t>
      </w:r>
      <w:r w:rsidRPr="00DD3FFE">
        <w:rPr>
          <w:rFonts w:ascii="Times New Roman" w:hAnsi="Times New Roman" w:cs="Times New Roman"/>
          <w:b/>
          <w:sz w:val="28"/>
          <w:szCs w:val="28"/>
        </w:rPr>
        <w:t>*</w:t>
      </w:r>
      <w:r w:rsidRPr="00DD3FFE"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6F1877">
        <w:rPr>
          <w:rFonts w:ascii="Times New Roman" w:eastAsia="Times New Roman" w:hAnsi="Times New Roman" w:cs="Times New Roman"/>
          <w:b/>
          <w:bCs/>
          <w:sz w:val="24"/>
          <w:szCs w:val="24"/>
        </w:rPr>
        <w:t>; Africa L.</w:t>
      </w:r>
      <w:r w:rsidRPr="00DD3FFE">
        <w:rPr>
          <w:rFonts w:ascii="Times New Roman" w:eastAsia="Times New Roman" w:hAnsi="Times New Roman" w:cs="Times New Roman"/>
          <w:b/>
          <w:bCs/>
          <w:sz w:val="28"/>
          <w:szCs w:val="28"/>
        </w:rPr>
        <w:t>***</w:t>
      </w:r>
      <w:r w:rsidRPr="006F18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F523BF" w:rsidRPr="006F1877" w:rsidRDefault="007B50C2" w:rsidP="00881990">
      <w:pPr>
        <w:spacing w:before="100" w:beforeAutospacing="1" w:after="100" w:afterAutospacing="1" w:line="240" w:lineRule="auto"/>
        <w:ind w:left="1276" w:right="566" w:hanging="425"/>
        <w:jc w:val="both"/>
        <w:outlineLvl w:val="2"/>
        <w:rPr>
          <w:rFonts w:ascii="Times New Roman" w:eastAsiaTheme="minorEastAsia" w:hAnsi="Times New Roman"/>
          <w:b/>
          <w:i/>
          <w:sz w:val="24"/>
          <w:szCs w:val="24"/>
        </w:rPr>
      </w:pPr>
      <w:r w:rsidRPr="00DD3FFE">
        <w:rPr>
          <w:rFonts w:ascii="Times New Roman" w:hAnsi="Times New Roman"/>
          <w:b/>
          <w:i/>
          <w:sz w:val="28"/>
          <w:szCs w:val="28"/>
        </w:rPr>
        <w:t xml:space="preserve"> *</w:t>
      </w:r>
      <w:r w:rsidR="00EA6DB2" w:rsidRPr="006F1877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F523BF" w:rsidRPr="006F1877">
        <w:rPr>
          <w:rFonts w:ascii="Times New Roman" w:hAnsi="Times New Roman"/>
          <w:b/>
          <w:i/>
          <w:sz w:val="24"/>
          <w:szCs w:val="24"/>
        </w:rPr>
        <w:t>Responsabile Unità Operativa Semplice Centro Trapianti Midollo Osseo “A. Neri”, Azienda Ospedaliera “Bianchi-Melacrino-Morelli”, Reggio Calabria.</w:t>
      </w:r>
    </w:p>
    <w:p w:rsidR="00F523BF" w:rsidRPr="006F1877" w:rsidRDefault="007B50C2" w:rsidP="00881990">
      <w:pPr>
        <w:spacing w:before="100" w:beforeAutospacing="1" w:after="100" w:afterAutospacing="1" w:line="240" w:lineRule="auto"/>
        <w:ind w:left="1276" w:right="566" w:hanging="425"/>
        <w:jc w:val="both"/>
        <w:outlineLvl w:val="2"/>
        <w:rPr>
          <w:rFonts w:ascii="Times New Roman" w:hAnsi="Times New Roman"/>
          <w:b/>
          <w:i/>
          <w:sz w:val="24"/>
          <w:szCs w:val="24"/>
        </w:rPr>
      </w:pPr>
      <w:r w:rsidRPr="00DD3FFE">
        <w:rPr>
          <w:rFonts w:ascii="Times New Roman" w:eastAsia="Times New Roman" w:hAnsi="Times New Roman" w:cs="Times New Roman"/>
          <w:b/>
          <w:i/>
          <w:sz w:val="28"/>
          <w:szCs w:val="28"/>
        </w:rPr>
        <w:t>**</w:t>
      </w:r>
      <w:r w:rsidR="00EA6DB2" w:rsidRPr="006F187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F523BF" w:rsidRPr="006F187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Direttore Unità Operativa Complessa di Radioterapia Azienda Ospedaliera “Bianchi- </w:t>
      </w:r>
      <w:r w:rsidR="00EA6DB2" w:rsidRPr="006F187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</w:t>
      </w:r>
      <w:r w:rsidR="00F523BF" w:rsidRPr="006F1877">
        <w:rPr>
          <w:rFonts w:ascii="Times New Roman" w:eastAsia="Times New Roman" w:hAnsi="Times New Roman" w:cs="Times New Roman"/>
          <w:b/>
          <w:i/>
          <w:sz w:val="24"/>
          <w:szCs w:val="24"/>
        </w:rPr>
        <w:t>Melacrino-Morelli” Reggio Calabria.</w:t>
      </w:r>
    </w:p>
    <w:p w:rsidR="009541EB" w:rsidRPr="006F1877" w:rsidRDefault="007B50C2" w:rsidP="00881990">
      <w:pPr>
        <w:spacing w:before="100" w:beforeAutospacing="1" w:after="100" w:afterAutospacing="1" w:line="240" w:lineRule="auto"/>
        <w:ind w:left="1560" w:right="566" w:hanging="709"/>
        <w:jc w:val="both"/>
        <w:outlineLvl w:val="2"/>
        <w:rPr>
          <w:rFonts w:ascii="Times New Roman" w:hAnsi="Times New Roman"/>
          <w:b/>
          <w:i/>
          <w:sz w:val="24"/>
          <w:szCs w:val="24"/>
        </w:rPr>
      </w:pPr>
      <w:r w:rsidRPr="00DD3FF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***</w:t>
      </w:r>
      <w:r w:rsidR="00EA6DB2" w:rsidRPr="006F187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F523BF" w:rsidRPr="006F1877">
        <w:rPr>
          <w:rFonts w:ascii="Times New Roman" w:eastAsia="Times New Roman" w:hAnsi="Times New Roman" w:cs="Times New Roman"/>
          <w:b/>
          <w:i/>
          <w:sz w:val="24"/>
          <w:szCs w:val="24"/>
        </w:rPr>
        <w:t>Unità Operativa Complessa di Anatomia Patologia Azienda Ospedaliera “Bianchi-Melacrino-Morelli” Reggio Calabria</w:t>
      </w:r>
      <w:r w:rsidR="00F523BF" w:rsidRPr="006F187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A354A7" w:rsidRPr="006F1877" w:rsidRDefault="00A354A7" w:rsidP="00881990">
      <w:pPr>
        <w:spacing w:line="360" w:lineRule="auto"/>
        <w:ind w:left="851" w:right="566"/>
        <w:jc w:val="both"/>
        <w:rPr>
          <w:rFonts w:ascii="Times New Roman" w:hAnsi="Times New Roman" w:cs="Times New Roman"/>
          <w:sz w:val="24"/>
          <w:szCs w:val="24"/>
        </w:rPr>
      </w:pPr>
      <w:r w:rsidRPr="006F1877">
        <w:rPr>
          <w:rFonts w:ascii="Times New Roman" w:hAnsi="Times New Roman" w:cs="Times New Roman"/>
          <w:sz w:val="24"/>
          <w:szCs w:val="24"/>
        </w:rPr>
        <w:t xml:space="preserve">Indirizzo e-mail Dr. Giuseppe Messina: </w:t>
      </w:r>
      <w:hyperlink r:id="rId8" w:history="1">
        <w:r w:rsidR="003B14F9" w:rsidRPr="006F1877">
          <w:rPr>
            <w:rStyle w:val="Collegamentoipertestuale"/>
            <w:rFonts w:ascii="Times New Roman" w:hAnsi="Times New Roman" w:cs="Times New Roman"/>
            <w:color w:val="auto"/>
            <w:sz w:val="24"/>
            <w:szCs w:val="24"/>
          </w:rPr>
          <w:t>gspmessina@virgilio.it</w:t>
        </w:r>
      </w:hyperlink>
    </w:p>
    <w:p w:rsidR="003B14F9" w:rsidRPr="006F1877" w:rsidRDefault="003B14F9" w:rsidP="00881990">
      <w:pPr>
        <w:spacing w:line="360" w:lineRule="auto"/>
        <w:ind w:left="851" w:right="566"/>
        <w:jc w:val="both"/>
        <w:rPr>
          <w:rFonts w:ascii="Times New Roman" w:hAnsi="Times New Roman" w:cs="Times New Roman"/>
          <w:sz w:val="24"/>
          <w:szCs w:val="24"/>
        </w:rPr>
      </w:pPr>
      <w:r w:rsidRPr="006F1877">
        <w:rPr>
          <w:rFonts w:ascii="Times New Roman" w:hAnsi="Times New Roman" w:cs="Times New Roman"/>
          <w:b/>
          <w:sz w:val="24"/>
          <w:szCs w:val="24"/>
        </w:rPr>
        <w:t>Parole chiavi</w:t>
      </w:r>
      <w:r w:rsidRPr="006F1877">
        <w:rPr>
          <w:rFonts w:ascii="Times New Roman" w:hAnsi="Times New Roman" w:cs="Times New Roman"/>
          <w:sz w:val="24"/>
          <w:szCs w:val="24"/>
        </w:rPr>
        <w:t>: trapianto aploidentico, neoplasie ematologiche</w:t>
      </w:r>
      <w:r w:rsidR="000E00DA" w:rsidRPr="006F1877">
        <w:rPr>
          <w:rFonts w:ascii="Times New Roman" w:hAnsi="Times New Roman" w:cs="Times New Roman"/>
          <w:sz w:val="24"/>
          <w:szCs w:val="24"/>
        </w:rPr>
        <w:t>, GVHD</w:t>
      </w:r>
      <w:r w:rsidR="002A064E" w:rsidRPr="006F1877">
        <w:rPr>
          <w:rFonts w:ascii="Times New Roman" w:hAnsi="Times New Roman" w:cs="Times New Roman"/>
          <w:sz w:val="24"/>
          <w:szCs w:val="24"/>
        </w:rPr>
        <w:t xml:space="preserve"> (</w:t>
      </w:r>
      <w:r w:rsidR="002A064E" w:rsidRPr="006F1877">
        <w:rPr>
          <w:rStyle w:val="webitembody1"/>
          <w:rFonts w:ascii="Times New Roman" w:hAnsi="Times New Roman" w:cs="Times New Roman"/>
          <w:bCs/>
          <w:color w:val="auto"/>
          <w:sz w:val="24"/>
          <w:szCs w:val="24"/>
        </w:rPr>
        <w:t>Graft versus Host Disease)</w:t>
      </w:r>
      <w:r w:rsidR="000E00DA" w:rsidRPr="006F1877">
        <w:rPr>
          <w:rFonts w:ascii="Times New Roman" w:hAnsi="Times New Roman" w:cs="Times New Roman"/>
          <w:sz w:val="24"/>
          <w:szCs w:val="24"/>
        </w:rPr>
        <w:t>.</w:t>
      </w:r>
    </w:p>
    <w:p w:rsidR="00EA6DB2" w:rsidRPr="00881990" w:rsidRDefault="003B14F9" w:rsidP="00881990">
      <w:pPr>
        <w:spacing w:line="360" w:lineRule="auto"/>
        <w:ind w:left="851" w:right="56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1877">
        <w:rPr>
          <w:rFonts w:ascii="Times New Roman" w:hAnsi="Times New Roman" w:cs="Times New Roman"/>
          <w:b/>
          <w:sz w:val="24"/>
          <w:szCs w:val="24"/>
          <w:lang w:val="en-US"/>
        </w:rPr>
        <w:t>Key words</w:t>
      </w:r>
      <w:r w:rsidRPr="006F1877">
        <w:rPr>
          <w:rFonts w:ascii="Times New Roman" w:hAnsi="Times New Roman" w:cs="Times New Roman"/>
          <w:sz w:val="24"/>
          <w:szCs w:val="24"/>
          <w:lang w:val="en-US"/>
        </w:rPr>
        <w:t>: haploidentical transplant, hematological neoplasm</w:t>
      </w:r>
      <w:r w:rsidR="000E00DA" w:rsidRPr="006F1877">
        <w:rPr>
          <w:rFonts w:ascii="Times New Roman" w:hAnsi="Times New Roman" w:cs="Times New Roman"/>
          <w:sz w:val="24"/>
          <w:szCs w:val="24"/>
          <w:lang w:val="en-US"/>
        </w:rPr>
        <w:t>; GVHD</w:t>
      </w:r>
      <w:r w:rsidR="002A064E" w:rsidRPr="006F187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2A064E" w:rsidRPr="006F1877">
        <w:rPr>
          <w:rStyle w:val="webitembody1"/>
          <w:rFonts w:ascii="Times New Roman" w:hAnsi="Times New Roman" w:cs="Times New Roman"/>
          <w:bCs/>
          <w:color w:val="auto"/>
          <w:sz w:val="24"/>
          <w:szCs w:val="24"/>
          <w:lang w:val="en-US"/>
        </w:rPr>
        <w:t>Graft versus Host Disease).</w:t>
      </w:r>
    </w:p>
    <w:p w:rsidR="003B14F9" w:rsidRPr="006F1877" w:rsidRDefault="003B14F9" w:rsidP="00881990">
      <w:pPr>
        <w:spacing w:line="360" w:lineRule="auto"/>
        <w:ind w:left="851" w:right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1877">
        <w:rPr>
          <w:rFonts w:ascii="Times New Roman" w:hAnsi="Times New Roman" w:cs="Times New Roman"/>
          <w:b/>
          <w:sz w:val="24"/>
          <w:szCs w:val="24"/>
        </w:rPr>
        <w:t>Riassunto</w:t>
      </w:r>
    </w:p>
    <w:p w:rsidR="00C83C49" w:rsidRPr="006F1877" w:rsidRDefault="003B14F9" w:rsidP="00881990">
      <w:pPr>
        <w:spacing w:line="360" w:lineRule="auto"/>
        <w:ind w:left="851" w:right="566"/>
        <w:jc w:val="both"/>
        <w:rPr>
          <w:rFonts w:ascii="Times New Roman" w:hAnsi="Times New Roman" w:cs="Times New Roman"/>
          <w:sz w:val="24"/>
          <w:szCs w:val="24"/>
        </w:rPr>
      </w:pPr>
      <w:r w:rsidRPr="006F1877">
        <w:rPr>
          <w:rFonts w:ascii="Times New Roman" w:hAnsi="Times New Roman" w:cs="Times New Roman"/>
          <w:sz w:val="24"/>
          <w:szCs w:val="24"/>
        </w:rPr>
        <w:t>I pazienti affetti da leucemia ad alto rischio di recidiva e sprovvisti di donatore HLA compatibile hanno nel donatore familiare parzialment</w:t>
      </w:r>
      <w:r w:rsidR="00EA6DB2" w:rsidRPr="006F1877">
        <w:rPr>
          <w:rFonts w:ascii="Times New Roman" w:hAnsi="Times New Roman" w:cs="Times New Roman"/>
          <w:sz w:val="24"/>
          <w:szCs w:val="24"/>
        </w:rPr>
        <w:t>e compatibile (aploidentico) un’</w:t>
      </w:r>
      <w:r w:rsidRPr="006F1877">
        <w:rPr>
          <w:rFonts w:ascii="Times New Roman" w:hAnsi="Times New Roman" w:cs="Times New Roman"/>
          <w:sz w:val="24"/>
          <w:szCs w:val="24"/>
        </w:rPr>
        <w:t xml:space="preserve">importante </w:t>
      </w:r>
      <w:r w:rsidR="00F70479" w:rsidRPr="006F1877">
        <w:rPr>
          <w:rFonts w:ascii="Times New Roman" w:hAnsi="Times New Roman" w:cs="Times New Roman"/>
          <w:sz w:val="24"/>
          <w:szCs w:val="24"/>
        </w:rPr>
        <w:t xml:space="preserve">alternativa terapeutica per ottenere la guarigione. </w:t>
      </w:r>
    </w:p>
    <w:p w:rsidR="00C83C49" w:rsidRPr="006F1877" w:rsidRDefault="00F70479" w:rsidP="00881990">
      <w:pPr>
        <w:spacing w:line="360" w:lineRule="auto"/>
        <w:ind w:left="851" w:right="566"/>
        <w:jc w:val="both"/>
        <w:rPr>
          <w:rFonts w:ascii="Times New Roman" w:hAnsi="Times New Roman" w:cs="Times New Roman"/>
          <w:sz w:val="24"/>
          <w:szCs w:val="24"/>
        </w:rPr>
      </w:pPr>
      <w:r w:rsidRPr="006F1877">
        <w:rPr>
          <w:rFonts w:ascii="Times New Roman" w:hAnsi="Times New Roman" w:cs="Times New Roman"/>
          <w:sz w:val="24"/>
          <w:szCs w:val="24"/>
        </w:rPr>
        <w:t>In questo lavoro, ripor</w:t>
      </w:r>
      <w:r w:rsidR="006F1877" w:rsidRPr="006F1877">
        <w:rPr>
          <w:rFonts w:ascii="Times New Roman" w:hAnsi="Times New Roman" w:cs="Times New Roman"/>
          <w:sz w:val="24"/>
          <w:szCs w:val="24"/>
        </w:rPr>
        <w:t>tiamo l’esperienza recente di quattordici</w:t>
      </w:r>
      <w:r w:rsidRPr="006F1877">
        <w:rPr>
          <w:rFonts w:ascii="Times New Roman" w:hAnsi="Times New Roman" w:cs="Times New Roman"/>
          <w:sz w:val="24"/>
          <w:szCs w:val="24"/>
        </w:rPr>
        <w:t xml:space="preserve"> pazienti con età mediana di 43 anni (r.6-58), affetti da Leucemia Acuta Mieloide (9 casi), Leucemia Acuta Linfoide (3 casi), Leucemia Mieloide Cronica in fase avanzata (2 casi), sottoposti a </w:t>
      </w:r>
      <w:r w:rsidR="00C83C49" w:rsidRPr="006F1877">
        <w:rPr>
          <w:rFonts w:ascii="Times New Roman" w:hAnsi="Times New Roman" w:cs="Times New Roman"/>
          <w:sz w:val="24"/>
          <w:szCs w:val="24"/>
        </w:rPr>
        <w:t>regime di</w:t>
      </w:r>
      <w:r w:rsidR="00EA6DB2" w:rsidRPr="006F1877">
        <w:rPr>
          <w:rFonts w:ascii="Times New Roman" w:hAnsi="Times New Roman" w:cs="Times New Roman"/>
          <w:sz w:val="24"/>
          <w:szCs w:val="24"/>
        </w:rPr>
        <w:t xml:space="preserve"> chemioterapia non mieloablativa</w:t>
      </w:r>
      <w:r w:rsidR="00C83C49" w:rsidRPr="006F1877">
        <w:rPr>
          <w:rFonts w:ascii="Times New Roman" w:hAnsi="Times New Roman" w:cs="Times New Roman"/>
          <w:sz w:val="24"/>
          <w:szCs w:val="24"/>
        </w:rPr>
        <w:t xml:space="preserve"> e  infusione di midollo osseo aploidentico non manipolato.</w:t>
      </w:r>
    </w:p>
    <w:p w:rsidR="00F523BF" w:rsidRPr="00881990" w:rsidRDefault="00C83C49" w:rsidP="00881990">
      <w:pPr>
        <w:spacing w:line="360" w:lineRule="auto"/>
        <w:ind w:left="851" w:right="566"/>
        <w:jc w:val="both"/>
        <w:rPr>
          <w:rFonts w:ascii="Times New Roman" w:hAnsi="Times New Roman" w:cs="Times New Roman"/>
          <w:sz w:val="24"/>
          <w:szCs w:val="24"/>
        </w:rPr>
      </w:pPr>
      <w:r w:rsidRPr="006F1877">
        <w:rPr>
          <w:rFonts w:ascii="Times New Roman" w:hAnsi="Times New Roman" w:cs="Times New Roman"/>
          <w:sz w:val="24"/>
          <w:szCs w:val="24"/>
        </w:rPr>
        <w:lastRenderedPageBreak/>
        <w:t>L</w:t>
      </w:r>
      <w:r w:rsidR="000E00DA" w:rsidRPr="006F1877">
        <w:rPr>
          <w:rFonts w:ascii="Times New Roman" w:hAnsi="Times New Roman" w:cs="Times New Roman"/>
          <w:sz w:val="24"/>
          <w:szCs w:val="24"/>
        </w:rPr>
        <w:t>a profilassi GVHD</w:t>
      </w:r>
      <w:r w:rsidR="002A064E" w:rsidRPr="006F1877">
        <w:rPr>
          <w:rFonts w:ascii="Times New Roman" w:hAnsi="Times New Roman" w:cs="Times New Roman"/>
          <w:sz w:val="24"/>
          <w:szCs w:val="24"/>
        </w:rPr>
        <w:t xml:space="preserve"> (</w:t>
      </w:r>
      <w:r w:rsidR="002A064E" w:rsidRPr="006F1877">
        <w:rPr>
          <w:rStyle w:val="webitembody1"/>
          <w:rFonts w:ascii="Times New Roman" w:hAnsi="Times New Roman" w:cs="Times New Roman"/>
          <w:bCs/>
          <w:color w:val="auto"/>
          <w:sz w:val="24"/>
          <w:szCs w:val="24"/>
        </w:rPr>
        <w:t>Graft versus Host Disease)</w:t>
      </w:r>
      <w:r w:rsidR="002A064E" w:rsidRPr="006F1877">
        <w:rPr>
          <w:rFonts w:ascii="Times New Roman" w:hAnsi="Times New Roman" w:cs="Times New Roman"/>
          <w:sz w:val="24"/>
          <w:szCs w:val="24"/>
        </w:rPr>
        <w:t xml:space="preserve"> </w:t>
      </w:r>
      <w:r w:rsidR="000E00DA" w:rsidRPr="006F1877">
        <w:rPr>
          <w:rFonts w:ascii="Times New Roman" w:hAnsi="Times New Roman" w:cs="Times New Roman"/>
          <w:sz w:val="24"/>
          <w:szCs w:val="24"/>
        </w:rPr>
        <w:t>è consistita nell’uso della C</w:t>
      </w:r>
      <w:r w:rsidR="00F70479" w:rsidRPr="006F1877">
        <w:rPr>
          <w:rFonts w:ascii="Times New Roman" w:hAnsi="Times New Roman" w:cs="Times New Roman"/>
          <w:sz w:val="24"/>
          <w:szCs w:val="24"/>
        </w:rPr>
        <w:t>iclofosfamide per due giorni</w:t>
      </w:r>
      <w:r w:rsidR="000E00DA" w:rsidRPr="006F1877">
        <w:rPr>
          <w:rFonts w:ascii="Times New Roman" w:hAnsi="Times New Roman" w:cs="Times New Roman"/>
          <w:sz w:val="24"/>
          <w:szCs w:val="24"/>
        </w:rPr>
        <w:t xml:space="preserve"> seguita da farmaci convenzionali quali il Tacrolimo e il Micofenolato Mofe</w:t>
      </w:r>
      <w:r w:rsidR="00B72E79" w:rsidRPr="006F1877">
        <w:rPr>
          <w:rFonts w:ascii="Times New Roman" w:hAnsi="Times New Roman" w:cs="Times New Roman"/>
          <w:sz w:val="24"/>
          <w:szCs w:val="24"/>
        </w:rPr>
        <w:t>t</w:t>
      </w:r>
      <w:r w:rsidR="000E00DA" w:rsidRPr="006F1877">
        <w:rPr>
          <w:rFonts w:ascii="Times New Roman" w:hAnsi="Times New Roman" w:cs="Times New Roman"/>
          <w:sz w:val="24"/>
          <w:szCs w:val="24"/>
        </w:rPr>
        <w:t xml:space="preserve">ile.  </w:t>
      </w:r>
      <w:r w:rsidR="00F70479" w:rsidRPr="006F18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00DA" w:rsidRPr="006F1877" w:rsidRDefault="000E00DA" w:rsidP="00881990">
      <w:pPr>
        <w:shd w:val="clear" w:color="auto" w:fill="FFFFFF" w:themeFill="background1"/>
        <w:spacing w:after="0" w:line="360" w:lineRule="auto"/>
        <w:ind w:left="851" w:right="566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</w:pPr>
      <w:r w:rsidRPr="006F1877"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  <w:t>Abstract</w:t>
      </w:r>
    </w:p>
    <w:p w:rsidR="00C83C49" w:rsidRPr="006F1877" w:rsidRDefault="000E00DA" w:rsidP="00881990">
      <w:pPr>
        <w:shd w:val="clear" w:color="auto" w:fill="FFFFFF" w:themeFill="background1"/>
        <w:spacing w:after="0" w:line="360" w:lineRule="auto"/>
        <w:ind w:left="851" w:right="56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en-US"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en-US" w:eastAsia="it-IT"/>
        </w:rPr>
        <w:t xml:space="preserve">Patients with leukemia at high risk of recurrence and lacking of HLA-matched donor have in  </w:t>
      </w:r>
      <w:r w:rsidR="0023303D" w:rsidRPr="006F1877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en-US" w:eastAsia="it-IT"/>
        </w:rPr>
        <w:t>haploidentical</w:t>
      </w:r>
      <w:r w:rsidRPr="006F1877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en-US" w:eastAsia="it-IT"/>
        </w:rPr>
        <w:t xml:space="preserve"> related donor an important therapeutic alternative. </w:t>
      </w:r>
    </w:p>
    <w:p w:rsidR="00C83C49" w:rsidRPr="006F1877" w:rsidRDefault="000E00DA" w:rsidP="00881990">
      <w:pPr>
        <w:shd w:val="clear" w:color="auto" w:fill="FFFFFF" w:themeFill="background1"/>
        <w:spacing w:after="0" w:line="360" w:lineRule="auto"/>
        <w:ind w:left="851" w:right="56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en-US"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en-US" w:eastAsia="it-IT"/>
        </w:rPr>
        <w:t xml:space="preserve">In this study, we report the our recent experience of 14 patients with median age of 43 years (r. 6-58), affected by acute myeloid leukemia (9 cases) or acute lymphoid leukemia (3 cases) or advanced chronic myeloid leukemia (2 cases) with </w:t>
      </w:r>
      <w:r w:rsidR="00C83C49" w:rsidRPr="006F1877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en-US" w:eastAsia="it-IT"/>
        </w:rPr>
        <w:t>non-myeloablative conditioning regimen</w:t>
      </w:r>
      <w:r w:rsidR="0023303D" w:rsidRPr="006F1877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en-US" w:eastAsia="it-IT"/>
        </w:rPr>
        <w:t xml:space="preserve"> </w:t>
      </w:r>
      <w:r w:rsidR="00C83C49" w:rsidRPr="006F1877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en-US" w:eastAsia="it-IT"/>
        </w:rPr>
        <w:t xml:space="preserve">and infusion of unmanipulated haploidentical </w:t>
      </w:r>
      <w:r w:rsidR="0023303D" w:rsidRPr="006F1877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en-US" w:eastAsia="it-IT"/>
        </w:rPr>
        <w:t>bone marrow</w:t>
      </w:r>
      <w:r w:rsidR="00C83C49" w:rsidRPr="006F1877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en-US" w:eastAsia="it-IT"/>
        </w:rPr>
        <w:t>.</w:t>
      </w:r>
      <w:r w:rsidR="0023303D" w:rsidRPr="006F1877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en-US" w:eastAsia="it-IT"/>
        </w:rPr>
        <w:t xml:space="preserve"> </w:t>
      </w:r>
    </w:p>
    <w:p w:rsidR="001737C8" w:rsidRDefault="000E00DA" w:rsidP="00881990">
      <w:pPr>
        <w:shd w:val="clear" w:color="auto" w:fill="FFFFFF" w:themeFill="background1"/>
        <w:spacing w:after="0" w:line="360" w:lineRule="auto"/>
        <w:ind w:left="851" w:right="566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en-US" w:eastAsia="it-IT"/>
        </w:rPr>
        <w:t>The GVHD prophylaxis consisted</w:t>
      </w:r>
      <w:r w:rsidR="0046358C" w:rsidRPr="006F1877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en-US" w:eastAsia="it-IT"/>
        </w:rPr>
        <w:t xml:space="preserve"> of </w:t>
      </w:r>
      <w:r w:rsidRPr="006F1877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cyclophosphamide for two days followed by conventional drugs such as Tacrolimus and Mycophenolate Mofe</w:t>
      </w:r>
      <w:r w:rsidR="00B72E79" w:rsidRPr="006F1877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t</w:t>
      </w:r>
      <w:r w:rsidRPr="006F1877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ile.</w:t>
      </w:r>
    </w:p>
    <w:p w:rsidR="00881990" w:rsidRPr="00881990" w:rsidRDefault="00881990" w:rsidP="00881990">
      <w:pPr>
        <w:shd w:val="clear" w:color="auto" w:fill="FFFFFF" w:themeFill="background1"/>
        <w:spacing w:after="0" w:line="360" w:lineRule="auto"/>
        <w:ind w:left="851" w:right="566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</w:pPr>
    </w:p>
    <w:p w:rsidR="00E24BE6" w:rsidRPr="006F1877" w:rsidRDefault="00E24BE6" w:rsidP="00881990">
      <w:pPr>
        <w:spacing w:line="360" w:lineRule="auto"/>
        <w:ind w:left="851" w:right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1877">
        <w:rPr>
          <w:rFonts w:ascii="Times New Roman" w:hAnsi="Times New Roman" w:cs="Times New Roman"/>
          <w:b/>
          <w:sz w:val="24"/>
          <w:szCs w:val="24"/>
        </w:rPr>
        <w:t>Introduzione</w:t>
      </w:r>
    </w:p>
    <w:p w:rsidR="001737C8" w:rsidRPr="006F1877" w:rsidRDefault="00BF444A" w:rsidP="00881990">
      <w:pPr>
        <w:spacing w:line="360" w:lineRule="auto"/>
        <w:ind w:left="851" w:right="566"/>
        <w:jc w:val="both"/>
        <w:rPr>
          <w:rFonts w:ascii="Times New Roman" w:hAnsi="Times New Roman" w:cs="Times New Roman"/>
          <w:sz w:val="24"/>
          <w:szCs w:val="24"/>
        </w:rPr>
      </w:pPr>
      <w:r w:rsidRPr="006F1877">
        <w:rPr>
          <w:rFonts w:ascii="Times New Roman" w:hAnsi="Times New Roman" w:cs="Times New Roman"/>
          <w:sz w:val="24"/>
          <w:szCs w:val="24"/>
        </w:rPr>
        <w:t xml:space="preserve">Il trapianto allogenico di midollo osseo da donatore familiare o volontario HLA compatibile rappresenta la migliore opzione </w:t>
      </w:r>
      <w:r w:rsidR="00EB3840" w:rsidRPr="006F1877">
        <w:rPr>
          <w:rFonts w:ascii="Times New Roman" w:hAnsi="Times New Roman" w:cs="Times New Roman"/>
          <w:sz w:val="24"/>
          <w:szCs w:val="24"/>
        </w:rPr>
        <w:t xml:space="preserve">terapeutica </w:t>
      </w:r>
      <w:r w:rsidRPr="006F1877">
        <w:rPr>
          <w:rFonts w:ascii="Times New Roman" w:hAnsi="Times New Roman" w:cs="Times New Roman"/>
          <w:sz w:val="24"/>
          <w:szCs w:val="24"/>
        </w:rPr>
        <w:t xml:space="preserve">per guarire </w:t>
      </w:r>
      <w:r w:rsidR="00EB3840" w:rsidRPr="006F1877">
        <w:rPr>
          <w:rFonts w:ascii="Times New Roman" w:hAnsi="Times New Roman" w:cs="Times New Roman"/>
          <w:sz w:val="24"/>
          <w:szCs w:val="24"/>
        </w:rPr>
        <w:t xml:space="preserve">i </w:t>
      </w:r>
      <w:r w:rsidRPr="006F1877">
        <w:rPr>
          <w:rFonts w:ascii="Times New Roman" w:hAnsi="Times New Roman" w:cs="Times New Roman"/>
          <w:sz w:val="24"/>
          <w:szCs w:val="24"/>
        </w:rPr>
        <w:t xml:space="preserve">pazienti affetti da leucemia acuta </w:t>
      </w:r>
      <w:r w:rsidR="00B72E79" w:rsidRPr="006F1877">
        <w:rPr>
          <w:rFonts w:ascii="Times New Roman" w:hAnsi="Times New Roman" w:cs="Times New Roman"/>
          <w:sz w:val="24"/>
          <w:szCs w:val="24"/>
        </w:rPr>
        <w:t xml:space="preserve">o cronica </w:t>
      </w:r>
      <w:r w:rsidRPr="006F1877">
        <w:rPr>
          <w:rFonts w:ascii="Times New Roman" w:hAnsi="Times New Roman" w:cs="Times New Roman"/>
          <w:sz w:val="24"/>
          <w:szCs w:val="24"/>
        </w:rPr>
        <w:t>ad alto rischio.</w:t>
      </w:r>
    </w:p>
    <w:p w:rsidR="001737C8" w:rsidRPr="006F1877" w:rsidRDefault="00B72E79" w:rsidP="00881990">
      <w:pPr>
        <w:spacing w:line="360" w:lineRule="auto"/>
        <w:ind w:left="851" w:right="566"/>
        <w:jc w:val="both"/>
        <w:rPr>
          <w:rFonts w:ascii="Times New Roman" w:hAnsi="Times New Roman" w:cs="Times New Roman"/>
          <w:sz w:val="24"/>
          <w:szCs w:val="24"/>
        </w:rPr>
      </w:pPr>
      <w:r w:rsidRPr="006F1877">
        <w:rPr>
          <w:rFonts w:ascii="Times New Roman" w:hAnsi="Times New Roman" w:cs="Times New Roman"/>
          <w:sz w:val="24"/>
          <w:szCs w:val="24"/>
        </w:rPr>
        <w:t xml:space="preserve">Purtroppo però molti pazienti </w:t>
      </w:r>
      <w:r w:rsidR="00BF444A" w:rsidRPr="006F1877">
        <w:rPr>
          <w:rFonts w:ascii="Times New Roman" w:hAnsi="Times New Roman" w:cs="Times New Roman"/>
          <w:sz w:val="24"/>
          <w:szCs w:val="24"/>
        </w:rPr>
        <w:t>non dispon</w:t>
      </w:r>
      <w:r w:rsidR="00D845A2" w:rsidRPr="006F1877">
        <w:rPr>
          <w:rFonts w:ascii="Times New Roman" w:hAnsi="Times New Roman" w:cs="Times New Roman"/>
          <w:sz w:val="24"/>
          <w:szCs w:val="24"/>
        </w:rPr>
        <w:t>gono</w:t>
      </w:r>
      <w:r w:rsidR="00BF444A" w:rsidRPr="006F1877">
        <w:rPr>
          <w:rFonts w:ascii="Times New Roman" w:hAnsi="Times New Roman" w:cs="Times New Roman"/>
          <w:sz w:val="24"/>
          <w:szCs w:val="24"/>
        </w:rPr>
        <w:t xml:space="preserve"> di un donatore con queste caratteristiche. </w:t>
      </w:r>
    </w:p>
    <w:p w:rsidR="00D845A2" w:rsidRPr="006F1877" w:rsidRDefault="00BF444A" w:rsidP="00881990">
      <w:pPr>
        <w:spacing w:line="360" w:lineRule="auto"/>
        <w:ind w:left="851" w:right="566"/>
        <w:jc w:val="both"/>
        <w:rPr>
          <w:rFonts w:ascii="Times New Roman" w:hAnsi="Times New Roman" w:cs="Times New Roman"/>
          <w:sz w:val="24"/>
          <w:szCs w:val="24"/>
        </w:rPr>
      </w:pPr>
      <w:r w:rsidRPr="006F1877">
        <w:rPr>
          <w:rFonts w:ascii="Times New Roman" w:hAnsi="Times New Roman" w:cs="Times New Roman"/>
          <w:sz w:val="24"/>
          <w:szCs w:val="24"/>
        </w:rPr>
        <w:t xml:space="preserve">Il rischio, pertanto, è la ricomparsa </w:t>
      </w:r>
      <w:r w:rsidR="00B72E79" w:rsidRPr="006F1877">
        <w:rPr>
          <w:rFonts w:ascii="Times New Roman" w:hAnsi="Times New Roman" w:cs="Times New Roman"/>
          <w:sz w:val="24"/>
          <w:szCs w:val="24"/>
        </w:rPr>
        <w:t xml:space="preserve">precoce </w:t>
      </w:r>
      <w:r w:rsidRPr="006F1877">
        <w:rPr>
          <w:rFonts w:ascii="Times New Roman" w:hAnsi="Times New Roman" w:cs="Times New Roman"/>
          <w:sz w:val="24"/>
          <w:szCs w:val="24"/>
        </w:rPr>
        <w:t>della malattia e la preclusione a qualsiasi tipo di trattamento trapiantologico</w:t>
      </w:r>
      <w:r w:rsidR="00D845A2" w:rsidRPr="006F1877">
        <w:rPr>
          <w:rFonts w:ascii="Times New Roman" w:hAnsi="Times New Roman" w:cs="Times New Roman"/>
          <w:sz w:val="24"/>
          <w:szCs w:val="24"/>
        </w:rPr>
        <w:t xml:space="preserve"> futuro</w:t>
      </w:r>
      <w:r w:rsidRPr="006F18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6CF7" w:rsidRPr="006F1877" w:rsidRDefault="00C46CF7" w:rsidP="00881990">
      <w:pPr>
        <w:spacing w:line="360" w:lineRule="auto"/>
        <w:ind w:left="851" w:right="566"/>
        <w:jc w:val="both"/>
        <w:rPr>
          <w:rFonts w:ascii="Times New Roman" w:hAnsi="Times New Roman" w:cs="Times New Roman"/>
          <w:sz w:val="24"/>
          <w:szCs w:val="24"/>
        </w:rPr>
      </w:pPr>
      <w:r w:rsidRPr="006F1877">
        <w:rPr>
          <w:rFonts w:ascii="Times New Roman" w:hAnsi="Times New Roman" w:cs="Times New Roman"/>
          <w:sz w:val="24"/>
          <w:szCs w:val="24"/>
        </w:rPr>
        <w:t>La sola strada percorribile è un donatore familiare con cui il paziente condivide un aplotipo HLA per i locii A, B, C, e DR</w:t>
      </w:r>
      <w:r w:rsidR="006F1877" w:rsidRPr="006F1877">
        <w:rPr>
          <w:rFonts w:ascii="Times New Roman" w:hAnsi="Times New Roman" w:cs="Times New Roman"/>
          <w:sz w:val="24"/>
          <w:szCs w:val="24"/>
        </w:rPr>
        <w:t>, ovvero</w:t>
      </w:r>
      <w:r w:rsidR="00D845A2" w:rsidRPr="006F1877">
        <w:rPr>
          <w:rFonts w:ascii="Times New Roman" w:hAnsi="Times New Roman" w:cs="Times New Roman"/>
          <w:sz w:val="24"/>
          <w:szCs w:val="24"/>
        </w:rPr>
        <w:t xml:space="preserve"> solo parzialmente compatibile</w:t>
      </w:r>
      <w:r w:rsidR="00303DE2" w:rsidRPr="006F1877">
        <w:rPr>
          <w:rFonts w:ascii="Times New Roman" w:hAnsi="Times New Roman" w:cs="Times New Roman"/>
          <w:sz w:val="24"/>
          <w:szCs w:val="24"/>
        </w:rPr>
        <w:t xml:space="preserve"> (1</w:t>
      </w:r>
      <w:r w:rsidR="00AA27E7" w:rsidRPr="006F1877">
        <w:rPr>
          <w:rFonts w:ascii="Times New Roman" w:hAnsi="Times New Roman" w:cs="Times New Roman"/>
          <w:sz w:val="24"/>
          <w:szCs w:val="24"/>
        </w:rPr>
        <w:t>,2</w:t>
      </w:r>
      <w:r w:rsidR="00303DE2" w:rsidRPr="006F1877">
        <w:rPr>
          <w:rFonts w:ascii="Times New Roman" w:hAnsi="Times New Roman" w:cs="Times New Roman"/>
          <w:sz w:val="24"/>
          <w:szCs w:val="24"/>
        </w:rPr>
        <w:t>)</w:t>
      </w:r>
      <w:r w:rsidRPr="006F18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37C8" w:rsidRPr="006F1877" w:rsidRDefault="00084FCE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grado di compatibilità HLA tra donatore e ricevente nel trapianto di midollo osseo </w:t>
      </w:r>
      <w:r w:rsidR="00CD0EF7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è di fondamentale importanza</w:t>
      </w:r>
      <w:r w:rsid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per il successo dello 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trapianto</w:t>
      </w:r>
      <w:r w:rsid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medesimo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</w:t>
      </w:r>
    </w:p>
    <w:p w:rsidR="005839D9" w:rsidRPr="006F1877" w:rsidRDefault="00E24BE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effetti, è stato dimostrato come la frequenza delle principali complicanze da trapianto, ovvero il mancato attecchimento e la malattia trapianto contro ospite (GVHD), siano fortemente condizionate dal grado di compatibilità tra donatore e ricevente. </w:t>
      </w:r>
    </w:p>
    <w:p w:rsidR="00CD0EF7" w:rsidRPr="006F1877" w:rsidRDefault="000971A4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Infatti la comparsa di questi due eventi aumenta in rapporto al grado di disparità HLA</w:t>
      </w:r>
      <w:r w:rsidR="00303DE2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</w:t>
      </w:r>
      <w:r w:rsidR="00AA27E7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3</w:t>
      </w:r>
      <w:r w:rsidR="00303DE2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)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</w:t>
      </w:r>
    </w:p>
    <w:p w:rsidR="00B72E79" w:rsidRPr="006F1877" w:rsidRDefault="006F1877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In questo lavoro è</w:t>
      </w:r>
      <w:r w:rsidR="00B72E7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presentata l’esperienza basata sull’uso di un regime di condizionamento definito non aggressivo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="00B72E7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combinato all’infusione di cellule midollari non manipolate associate ad una profilassi verso la malattia trapianto contro ospite (GVHD) basata su alte dosi di Ciclofosfamide concentrata in due giorni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</w:t>
      </w:r>
      <w:r w:rsidR="00B72E7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seguita da farmaci tradizionalmente utilizzati (Tacrolimo e Micofenolato Mofetile). </w:t>
      </w:r>
    </w:p>
    <w:p w:rsidR="00B72E79" w:rsidRPr="006F1877" w:rsidRDefault="00B72E79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Pazienti e Metodi</w:t>
      </w:r>
    </w:p>
    <w:p w:rsidR="005839D9" w:rsidRPr="006F1877" w:rsidRDefault="00B72E79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questo studio, </w:t>
      </w:r>
      <w:r w:rsidR="00D17E21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approvato dal locale Comitato Etico e il cui primo paziente è stato arruolato nel Settembre 2010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sono stati </w:t>
      </w:r>
      <w:r w:rsidR="00D17E21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inseriti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al momento 14 </w:t>
      </w:r>
      <w:r w:rsidR="00A7380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casi.</w:t>
      </w:r>
    </w:p>
    <w:p w:rsidR="005839D9" w:rsidRPr="006F1877" w:rsidRDefault="00B72E79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Lo schema di condizionamento è raffigurato nella Figura 1 e si è ispirato al programma di Baltimora</w:t>
      </w:r>
      <w:r w:rsidR="00303DE2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</w:t>
      </w:r>
      <w:r w:rsidR="00AA27E7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4</w:t>
      </w:r>
      <w:r w:rsidR="00303DE2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) </w:t>
      </w:r>
      <w:r w:rsidR="00D17E21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con la sola sostituzione nel regime di condizionamento della </w:t>
      </w:r>
      <w:r w:rsidR="005839D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Ciclofosfamide con il Thiotepa.</w:t>
      </w:r>
    </w:p>
    <w:p w:rsidR="005839D9" w:rsidRPr="006F1877" w:rsidRDefault="00D17E21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Le principali caratteristiche dei pazient</w:t>
      </w:r>
      <w:r w:rsidR="005839D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 sono incluse nella</w:t>
      </w:r>
      <w:r w:rsidR="007004A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seguente</w:t>
      </w:r>
      <w:r w:rsidR="005839D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tabella 1.</w:t>
      </w:r>
    </w:p>
    <w:p w:rsidR="005839D9" w:rsidRPr="006F1877" w:rsidRDefault="00D17E21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Si tratta di pazienti con malattia avanzata e quindi con prognosi estremamente sfavor</w:t>
      </w:r>
      <w:r w:rsidR="005839D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evole.</w:t>
      </w:r>
    </w:p>
    <w:p w:rsidR="005839D9" w:rsidRPr="006F1877" w:rsidRDefault="00D17E21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giorno </w:t>
      </w:r>
      <w:r w:rsidR="007004A9">
        <w:rPr>
          <w:rFonts w:ascii="Times New Roman" w:eastAsia="Times New Roman" w:hAnsi="Times New Roman" w:cs="Times New Roman"/>
          <w:sz w:val="24"/>
          <w:szCs w:val="24"/>
          <w:lang w:eastAsia="it-IT"/>
        </w:rPr>
        <w:t>dell’infusione il donatore è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sottoposto a prelievo</w:t>
      </w:r>
      <w:r w:rsidR="007004A9" w:rsidRPr="007004A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7004A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di midollo osseo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anestesia g</w:t>
      </w:r>
      <w:r w:rsidR="00353962">
        <w:rPr>
          <w:rFonts w:ascii="Times New Roman" w:eastAsia="Times New Roman" w:hAnsi="Times New Roman" w:cs="Times New Roman"/>
          <w:sz w:val="24"/>
          <w:szCs w:val="24"/>
          <w:lang w:eastAsia="it-IT"/>
        </w:rPr>
        <w:t>enerale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</w:t>
      </w:r>
      <w:r w:rsidR="00353962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nella stessa giornata</w:t>
      </w:r>
      <w:r w:rsidR="00353962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46315F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midollo osseo stesso </w:t>
      </w:r>
      <w:r w:rsidR="005839D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viene reinfuso al paziente.</w:t>
      </w:r>
    </w:p>
    <w:p w:rsidR="005839D9" w:rsidRPr="006F1877" w:rsidRDefault="005839D9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In sei</w:t>
      </w:r>
      <w:r w:rsidR="00D17E21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trapianti il don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 w:rsidR="00353962">
        <w:rPr>
          <w:rFonts w:ascii="Times New Roman" w:eastAsia="Times New Roman" w:hAnsi="Times New Roman" w:cs="Times New Roman"/>
          <w:sz w:val="24"/>
          <w:szCs w:val="24"/>
          <w:lang w:eastAsia="it-IT"/>
        </w:rPr>
        <w:t>tore è stata la madre, in s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e</w:t>
      </w:r>
      <w:r w:rsidR="00353962"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="00D17E21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un</w:t>
      </w:r>
      <w:r w:rsidR="00A7380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o dei figli</w:t>
      </w:r>
      <w:r w:rsidR="00D17E21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, nei rimanenti due casi una sorella e uno zio.</w:t>
      </w:r>
    </w:p>
    <w:p w:rsidR="005839D9" w:rsidRPr="006F1877" w:rsidRDefault="005839D9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In cinque</w:t>
      </w:r>
      <w:r w:rsidR="00A7380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casi</w:t>
      </w:r>
      <w:r w:rsidR="00353962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="00A7380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uno nella coppia donatore</w:t>
      </w:r>
      <w:r w:rsidR="0046315F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/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ricevente era positivo per CMV.</w:t>
      </w:r>
    </w:p>
    <w:p w:rsidR="005839D9" w:rsidRPr="006F1877" w:rsidRDefault="00A7380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In cinque casi era presente anch</w:t>
      </w:r>
      <w:r w:rsidR="0046315F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e AB0 incomp</w:t>
      </w:r>
      <w:r w:rsidR="005839D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atibilità per gruppo sanguigno.</w:t>
      </w:r>
    </w:p>
    <w:p w:rsidR="00BD58DC" w:rsidRPr="00FD542C" w:rsidRDefault="0046315F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D542C"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="00A73806" w:rsidRPr="00FD542C">
        <w:rPr>
          <w:rFonts w:ascii="Times New Roman" w:eastAsia="Times New Roman" w:hAnsi="Times New Roman" w:cs="Times New Roman"/>
          <w:sz w:val="24"/>
          <w:szCs w:val="24"/>
          <w:lang w:eastAsia="it-IT"/>
        </w:rPr>
        <w:t>n tali casi, il paziente</w:t>
      </w:r>
      <w:r w:rsidR="001A2047" w:rsidRPr="00FD542C">
        <w:rPr>
          <w:rFonts w:ascii="Times New Roman" w:eastAsia="Times New Roman" w:hAnsi="Times New Roman" w:cs="Times New Roman"/>
          <w:sz w:val="24"/>
          <w:szCs w:val="24"/>
          <w:lang w:eastAsia="it-IT"/>
        </w:rPr>
        <w:t>, nel caso in cui il titolo anticorpale  fosse risultato &gt;1:16, è stato sottoposto a una o due sedute di plasmaferesi</w:t>
      </w:r>
      <w:r w:rsidR="00A73806" w:rsidRPr="00FD542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nei giorn</w:t>
      </w:r>
      <w:r w:rsidR="00353962" w:rsidRPr="00FD542C">
        <w:rPr>
          <w:rFonts w:ascii="Times New Roman" w:eastAsia="Times New Roman" w:hAnsi="Times New Roman" w:cs="Times New Roman"/>
          <w:sz w:val="24"/>
          <w:szCs w:val="24"/>
          <w:lang w:eastAsia="it-IT"/>
        </w:rPr>
        <w:t>i antecedenti l’infusione</w:t>
      </w:r>
      <w:r w:rsidR="001A2047" w:rsidRPr="00FD542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</w:t>
      </w:r>
    </w:p>
    <w:p w:rsidR="0046315F" w:rsidRPr="00FD542C" w:rsidRDefault="00B24228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D542C">
        <w:rPr>
          <w:rFonts w:ascii="Times New Roman" w:eastAsia="Times New Roman" w:hAnsi="Times New Roman" w:cs="Times New Roman"/>
          <w:sz w:val="24"/>
          <w:szCs w:val="24"/>
          <w:lang w:eastAsia="it-IT"/>
        </w:rPr>
        <w:t>Cinque giorni dopo l’infusione (giorno+5)</w:t>
      </w:r>
      <w:r w:rsidR="00A73806" w:rsidRPr="00FD542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concomitanza con l’inizio del secondo blocco delle profilassi GVHD, viene associato il fattore di crescita.</w:t>
      </w:r>
      <w:r w:rsidR="00D17E21" w:rsidRPr="00FD542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</w:t>
      </w:r>
      <w:r w:rsidR="00B72E79" w:rsidRPr="00FD542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881990" w:rsidRDefault="00881990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881990" w:rsidRDefault="00881990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46315F" w:rsidRPr="006F1877" w:rsidRDefault="0046315F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lastRenderedPageBreak/>
        <w:t>Risultati</w:t>
      </w:r>
    </w:p>
    <w:p w:rsidR="005839D9" w:rsidRPr="006F1877" w:rsidRDefault="0046315F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Il numero mediano di cellule midollari infuso, aggiustato per peso corporeo ideale del paziente, è stat</w:t>
      </w:r>
      <w:r w:rsidR="005839D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o di 455x 10E6/kg (r. 180-796).</w:t>
      </w:r>
    </w:p>
    <w:p w:rsidR="005839D9" w:rsidRPr="006F1877" w:rsidRDefault="0046315F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Tutti i pazien</w:t>
      </w:r>
      <w:r w:rsidR="005839D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ti tranne uno hanno attecchito.</w:t>
      </w:r>
    </w:p>
    <w:p w:rsidR="005839D9" w:rsidRPr="006F1877" w:rsidRDefault="009D237D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L’</w:t>
      </w:r>
      <w:r w:rsidR="0046315F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andamento del trapianto e le più significative complicanze sono riassunte ne</w:t>
      </w:r>
      <w:r w:rsidR="005839D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lla tabella 2.</w:t>
      </w:r>
    </w:p>
    <w:p w:rsidR="005839D9" w:rsidRPr="006F1877" w:rsidRDefault="0046315F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Il paziente che non ha attecchito presentava una storia clinica ed ematologica complessa carat</w:t>
      </w:r>
      <w:r w:rsidR="009D237D">
        <w:rPr>
          <w:rFonts w:ascii="Times New Roman" w:eastAsia="Times New Roman" w:hAnsi="Times New Roman" w:cs="Times New Roman"/>
          <w:sz w:val="24"/>
          <w:szCs w:val="24"/>
          <w:lang w:eastAsia="it-IT"/>
        </w:rPr>
        <w:t>terizzata da due precedenti trapianti, dei quali un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o allogenico e</w:t>
      </w:r>
      <w:r w:rsidR="009D237D">
        <w:rPr>
          <w:rFonts w:ascii="Times New Roman" w:eastAsia="Times New Roman" w:hAnsi="Times New Roman" w:cs="Times New Roman"/>
          <w:sz w:val="24"/>
          <w:szCs w:val="24"/>
          <w:lang w:eastAsia="it-IT"/>
        </w:rPr>
        <w:t>d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uno stato di resistenza a tutte le terapie fino ad allora effettuat</w:t>
      </w:r>
      <w:r w:rsidR="005839D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e.</w:t>
      </w:r>
    </w:p>
    <w:p w:rsidR="005839D9" w:rsidRPr="006F1877" w:rsidRDefault="004805D7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Nessun paziente è deceduto per complicanze legate </w:t>
      </w:r>
      <w:r w:rsidR="005839D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alla procedura trapiantologica.</w:t>
      </w:r>
    </w:p>
    <w:p w:rsidR="005839D9" w:rsidRPr="006F1877" w:rsidRDefault="00CD2813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La necessità trasfusionale </w:t>
      </w:r>
      <w:r w:rsidR="0054555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è stata trascurabile</w:t>
      </w:r>
      <w:r w:rsidR="00545559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="0054555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545559">
        <w:rPr>
          <w:rFonts w:ascii="Times New Roman" w:eastAsia="Times New Roman" w:hAnsi="Times New Roman" w:cs="Times New Roman"/>
          <w:sz w:val="24"/>
          <w:szCs w:val="24"/>
          <w:lang w:eastAsia="it-IT"/>
        </w:rPr>
        <w:t>considerato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54555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che 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 pazienti</w:t>
      </w:r>
      <w:r w:rsidR="0054555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sono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giunti al trapianto in buone condizioni cliniche e di buon controllo della malattia</w:t>
      </w:r>
      <w:r w:rsidR="005839D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:rsidR="005839D9" w:rsidRPr="006F1877" w:rsidRDefault="00CD2813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In effetti</w:t>
      </w:r>
      <w:r w:rsidR="00545559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la mediana di supporto trasfusionale in termini di globuli rossi e di concentrati piastrinici da aferesi è stata </w:t>
      </w:r>
      <w:r w:rsidR="005839D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rispettivamente di 6 (r. 1-12) e 12 (r. 6-42).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5839D9" w:rsidRPr="006F1877" w:rsidRDefault="00CD2813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La durata mediana dell’ospedalizzazione</w:t>
      </w:r>
      <w:r w:rsidR="0046315F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dal giorno dell’infusi</w:t>
      </w:r>
      <w:r w:rsidR="00545559">
        <w:rPr>
          <w:rFonts w:ascii="Times New Roman" w:eastAsia="Times New Roman" w:hAnsi="Times New Roman" w:cs="Times New Roman"/>
          <w:sz w:val="24"/>
          <w:szCs w:val="24"/>
          <w:lang w:eastAsia="it-IT"/>
        </w:rPr>
        <w:t>one è stata di 25 giorni (r. 21-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48). </w:t>
      </w:r>
    </w:p>
    <w:p w:rsidR="005839D9" w:rsidRPr="006F1877" w:rsidRDefault="00CD2813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Nessun paziente dopo la dimissione è stato ricoverato nuovamente per c</w:t>
      </w:r>
      <w:r w:rsidR="005839D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omplicanze legate al trapianto.</w:t>
      </w:r>
    </w:p>
    <w:p w:rsidR="005839D9" w:rsidRPr="006F1877" w:rsidRDefault="00E86E31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Da segnalare che tutti i pazienti hanno presentato almeno una riattivazione da CMV che è risultata rispondente alla terapia </w:t>
      </w:r>
      <w:r w:rsidR="005839D9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specifica con Ganciclovir.</w:t>
      </w:r>
    </w:p>
    <w:p w:rsidR="005839D9" w:rsidRPr="006F1877" w:rsidRDefault="00E86E31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Nella tabella 3 è indicato in maniera analitica l’outcome di ciascun paziente fino all’ultimo controllo ambulatoriale.</w:t>
      </w:r>
    </w:p>
    <w:p w:rsidR="00B72E79" w:rsidRPr="006F1877" w:rsidRDefault="005839D9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Dalle valutazioni descritte</w:t>
      </w:r>
      <w:r w:rsidR="004805D7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sono esclusi tre pazienti poiché hanno ancora un breve follow-up clinico ed ematologico.</w:t>
      </w:r>
    </w:p>
    <w:p w:rsidR="00476A3E" w:rsidRPr="006F1877" w:rsidRDefault="00476A3E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Commenti</w:t>
      </w:r>
    </w:p>
    <w:p w:rsidR="00053576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La diversità del sistema HLA tra donatore e paziente crea una barriera alla penetrazione delle cellule staminali all’interno del midollo e quando avviene, le cellule incontrano molte difficoltà nello svolgere le normali funzioni del sangue e in breve tempo perdono le lor</w:t>
      </w:r>
      <w:r w:rsidR="0054555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o capacità di maturazione e </w:t>
      </w:r>
      <w:r w:rsidR="0005357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muoiono definitivamente.</w:t>
      </w:r>
    </w:p>
    <w:p w:rsidR="00053576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La ricerca applicata dapprima sull’animale da esperimento e poi sull’uomo ha dimostrato negli anni che quest</w:t>
      </w:r>
      <w:r w:rsidR="0005357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o ostacolo può essere superato.</w:t>
      </w:r>
    </w:p>
    <w:p w:rsidR="00053576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Esistono due strategie diverse ma accomunate da un comune denominatore ossia l’infusione di un gran</w:t>
      </w:r>
      <w:r w:rsidR="0005357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de numero di cellule staminali.</w:t>
      </w:r>
    </w:p>
    <w:p w:rsidR="002220A6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La prima strategia </w:t>
      </w:r>
      <w:r w:rsidR="003C4B8C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che ha visto nel gruppo di Perugia </w:t>
      </w:r>
      <w:r w:rsidR="00AA27E7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(5,6) </w:t>
      </w:r>
      <w:r w:rsidR="003C4B8C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il più importante e convinto assertore</w:t>
      </w:r>
      <w:r w:rsidR="00545559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="003C4B8C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prevede un regime di condizionamento estremamente aggressivo, avente lo scopo di abbattere ogni forma di resistenza neoplastica e immunologica nel paziente seguita dalla infusione di un grande numero di cellule staminali, </w:t>
      </w:r>
      <w:r w:rsidRPr="006F1877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“megadose di cellule staminali CD34+”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, raccolte dal donatore mediante la stimolazione con fattore di crescita.</w:t>
      </w:r>
    </w:p>
    <w:p w:rsidR="002220A6" w:rsidRPr="00FD542C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D542C">
        <w:rPr>
          <w:rFonts w:ascii="Times New Roman" w:eastAsia="Times New Roman" w:hAnsi="Times New Roman" w:cs="Times New Roman"/>
          <w:sz w:val="24"/>
          <w:szCs w:val="24"/>
          <w:lang w:eastAsia="it-IT"/>
        </w:rPr>
        <w:t>La seconda strategia consiste in un regime di condizi</w:t>
      </w:r>
      <w:r w:rsidR="00053576" w:rsidRPr="00FD542C">
        <w:rPr>
          <w:rFonts w:ascii="Times New Roman" w:eastAsia="Times New Roman" w:hAnsi="Times New Roman" w:cs="Times New Roman"/>
          <w:sz w:val="24"/>
          <w:szCs w:val="24"/>
          <w:lang w:eastAsia="it-IT"/>
        </w:rPr>
        <w:t>onamento moderato seguito dall’</w:t>
      </w:r>
      <w:r w:rsidRPr="00FD542C">
        <w:rPr>
          <w:rFonts w:ascii="Times New Roman" w:eastAsia="Times New Roman" w:hAnsi="Times New Roman" w:cs="Times New Roman"/>
          <w:sz w:val="24"/>
          <w:szCs w:val="24"/>
          <w:lang w:eastAsia="it-IT"/>
        </w:rPr>
        <w:t>infusione di un elevato numero di cellule midollari ricco di tanti fattori favorenti la crescita, la ripresa delle funzioni midollari e immunologiche; in tal caso le cellule sono prelevate al donatore in anestesia generale dalle creste iliache posteriori.</w:t>
      </w:r>
    </w:p>
    <w:p w:rsidR="00053576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 vantaggi della prima strategia si basano sulla eradicazione rapida della malattia attraverso la combinazione di più farmaci a dosi molto elevate e assicurandosi un recupero ematologico rapido attraverso l’infusione di un numero di cellule s</w:t>
      </w:r>
      <w:r w:rsidR="0005357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taminali superiore a 10x10e6/kg.</w:t>
      </w:r>
    </w:p>
    <w:p w:rsidR="00053576" w:rsidRPr="006F1877" w:rsidRDefault="0005357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="002220A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n tal modo viene superata la resistenza del sistema HLA incompatibile donatore/ricevente con un meccanismo definito di diffusion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e passiva di cellule staminali.</w:t>
      </w:r>
    </w:p>
    <w:p w:rsidR="002220A6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Altro vantaggio è basato sull’infusione di un prodotto esclusivamente costituito da cellule staminali CD34+</w:t>
      </w:r>
      <w:r w:rsidR="00AA27E7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e per tale ragione non sono necessarie profilassi farmacologiche per il controllo della malattia trapianto contro ospite (GVHD).</w:t>
      </w:r>
    </w:p>
    <w:p w:rsidR="00053576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Questa complicanza</w:t>
      </w:r>
      <w:r w:rsidR="0005357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è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la più importante e tipica di qualsiasi forma di trapianto allogenico</w:t>
      </w:r>
      <w:r w:rsidR="0005357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ed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ha un incidenza variabile a</w:t>
      </w:r>
      <w:r w:rsidR="0005357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seconda del tipo di trapianto.</w:t>
      </w:r>
    </w:p>
    <w:p w:rsidR="00053576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Infatti, in corso di trapianto allogenico da donatore familiare compatibile essa s</w:t>
      </w:r>
      <w:r w:rsidR="0005357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arà di circa il 30% dei casi fino ad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arrivare fino al 50-60% nei trapianti da don</w:t>
      </w:r>
      <w:r w:rsidR="0005357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atore volontario non familiare.</w:t>
      </w:r>
    </w:p>
    <w:p w:rsidR="002220A6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Nel tipo di trapianto di cui stiamo trattando</w:t>
      </w:r>
      <w:r w:rsidR="003C4B8C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il rischio</w:t>
      </w:r>
      <w:r w:rsidR="0005357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="003C4B8C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che sarebbe anche mortale</w:t>
      </w:r>
      <w:r w:rsidR="0005357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, è più elevato se non fosse</w:t>
      </w:r>
      <w:r w:rsidR="003C4B8C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adottata una sorta di </w:t>
      </w:r>
      <w:r w:rsidR="0005357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profilassi biologica, ossia </w:t>
      </w:r>
      <w:r w:rsidR="0005357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l’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eliminazione </w:t>
      </w:r>
      <w:r w:rsidR="003C4B8C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laboratorio 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della componente linfocitaria dal prodotto di inoculo senza ulteriori terapie aggiuntive</w:t>
      </w:r>
      <w:r w:rsidR="003C4B8C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053576" w:rsidRPr="00FD542C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D542C">
        <w:rPr>
          <w:rFonts w:ascii="Times New Roman" w:eastAsia="Times New Roman" w:hAnsi="Times New Roman" w:cs="Times New Roman"/>
          <w:sz w:val="24"/>
          <w:szCs w:val="24"/>
          <w:lang w:eastAsia="it-IT"/>
        </w:rPr>
        <w:t>Il limite principale è insito nella tecnica di manipolazione stessa e cioè la collezione di un prodotto cellulare estremamente purificato, ossia costituito solo da cellule staminali CD34+ ma privo di tutte le altre componenti cellulari, soprattutto linfocitarie</w:t>
      </w:r>
      <w:r w:rsidR="00053576" w:rsidRPr="00FD542C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Pr="00FD542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necessarie per un rapida ricos</w:t>
      </w:r>
      <w:r w:rsidR="00053576" w:rsidRPr="00FD542C">
        <w:rPr>
          <w:rFonts w:ascii="Times New Roman" w:eastAsia="Times New Roman" w:hAnsi="Times New Roman" w:cs="Times New Roman"/>
          <w:sz w:val="24"/>
          <w:szCs w:val="24"/>
          <w:lang w:eastAsia="it-IT"/>
        </w:rPr>
        <w:t>tituzione immunologica.</w:t>
      </w:r>
    </w:p>
    <w:p w:rsidR="00881990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Tutto ciò espone il paziente a tre eventi rappresentati</w:t>
      </w:r>
      <w:r w:rsidR="0041139D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a:</w:t>
      </w:r>
    </w:p>
    <w:p w:rsidR="00881990" w:rsidRPr="00881990" w:rsidRDefault="002220A6" w:rsidP="00881990">
      <w:pPr>
        <w:pStyle w:val="Paragrafoelenco"/>
        <w:numPr>
          <w:ilvl w:val="0"/>
          <w:numId w:val="3"/>
        </w:numPr>
        <w:spacing w:before="150" w:after="150" w:line="360" w:lineRule="auto"/>
        <w:ind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881990">
        <w:rPr>
          <w:rFonts w:ascii="Times New Roman" w:eastAsia="Times New Roman" w:hAnsi="Times New Roman" w:cs="Times New Roman"/>
          <w:sz w:val="24"/>
          <w:szCs w:val="24"/>
          <w:lang w:eastAsia="it-IT"/>
        </w:rPr>
        <w:t>rischio di recidiva poiché manca l’effetto immunologico delle cellule linfoidi contro eventuali cellule neoplastiche risultate resistenti alle alte dosi di chemioterapia; in questo caso, laddove sia possibile, si seleziona il donatore in funzione di talune peculiarità immunologich</w:t>
      </w:r>
      <w:r w:rsidR="0041139D" w:rsidRPr="00881990">
        <w:rPr>
          <w:rFonts w:ascii="Times New Roman" w:eastAsia="Times New Roman" w:hAnsi="Times New Roman" w:cs="Times New Roman"/>
          <w:sz w:val="24"/>
          <w:szCs w:val="24"/>
          <w:lang w:eastAsia="it-IT"/>
        </w:rPr>
        <w:t>e confrontate con il donatore;</w:t>
      </w:r>
    </w:p>
    <w:p w:rsidR="00881990" w:rsidRDefault="002220A6" w:rsidP="00881990">
      <w:pPr>
        <w:pStyle w:val="Paragrafoelenco"/>
        <w:numPr>
          <w:ilvl w:val="0"/>
          <w:numId w:val="3"/>
        </w:numPr>
        <w:spacing w:before="150" w:after="150" w:line="360" w:lineRule="auto"/>
        <w:ind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881990">
        <w:rPr>
          <w:rFonts w:ascii="Times New Roman" w:eastAsia="Times New Roman" w:hAnsi="Times New Roman" w:cs="Times New Roman"/>
          <w:sz w:val="24"/>
          <w:szCs w:val="24"/>
          <w:lang w:eastAsia="it-IT"/>
        </w:rPr>
        <w:t>mancato attecchimento per cui potrebbe rendersi n</w:t>
      </w:r>
      <w:r w:rsidR="0041139D" w:rsidRPr="00881990">
        <w:rPr>
          <w:rFonts w:ascii="Times New Roman" w:eastAsia="Times New Roman" w:hAnsi="Times New Roman" w:cs="Times New Roman"/>
          <w:sz w:val="24"/>
          <w:szCs w:val="24"/>
          <w:lang w:eastAsia="it-IT"/>
        </w:rPr>
        <w:t>ecessario un secondo trapianto;</w:t>
      </w:r>
    </w:p>
    <w:p w:rsidR="0041139D" w:rsidRPr="00881990" w:rsidRDefault="002220A6" w:rsidP="00881990">
      <w:pPr>
        <w:pStyle w:val="Paragrafoelenco"/>
        <w:numPr>
          <w:ilvl w:val="0"/>
          <w:numId w:val="3"/>
        </w:numPr>
        <w:spacing w:before="150" w:after="150" w:line="360" w:lineRule="auto"/>
        <w:ind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88199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complicanze infettive. A tal proposito la ripresa immunologica intesa sia in termini quantitativi che qualitativi in questo tipo di trapianto richiede fino a due anni di tempo. Durante questa fase il paziente è esposto ad una serie di complicanze infettive soprattutto virali, protozoarie e fungine che purtroppo spesso sono causa di morte  anche tardiva del paziente. </w:t>
      </w:r>
    </w:p>
    <w:p w:rsidR="002220A6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Da aggiungere a tutto ciò</w:t>
      </w:r>
      <w:r w:rsidR="0041139D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una qualità di vita molto limitata poiché condizionata da ricoveri ripetuti e da quasi giornaliere presenze presso i Day Hospital. </w:t>
      </w:r>
    </w:p>
    <w:p w:rsidR="0041139D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La </w:t>
      </w:r>
      <w:r w:rsidR="003C4B8C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seconda strategia pro</w:t>
      </w:r>
      <w:r w:rsidR="00AA27E7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pugnata dal gruppo di Baltimora (4,7) </w:t>
      </w:r>
      <w:r w:rsidR="003C4B8C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comprende la 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somministrazione di farmaci a dosaggi non elevati combinati al trattamento radioterapico permette</w:t>
      </w:r>
      <w:r w:rsidR="003C4B8C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ndo così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 esporre a meccanismi di azione mult</w:t>
      </w:r>
      <w:r w:rsidR="0041139D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ipli le cellule tumorali verso le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quali</w:t>
      </w:r>
      <w:r w:rsidR="003C4B8C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le stesse 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non sono preparate a difendersi e quindi s</w:t>
      </w:r>
      <w:r w:rsidR="0041139D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ono più facilmente aggredibili.</w:t>
      </w:r>
    </w:p>
    <w:p w:rsidR="002220A6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Nello stesso tempo la somministrazione di dosaggi non particolarmente elevati di chemioterapici estende questa procedura trapiantologica anche a pazienti di età avanzata (&gt;65 anni).</w:t>
      </w:r>
    </w:p>
    <w:p w:rsidR="002220A6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L’infusione di un elevato numero di cellule midolla</w:t>
      </w:r>
      <w:r w:rsidR="0041139D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ri (&gt;350x10E6/kg) non sottoposte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ad alcuna manipolazione permette un recupero emopoietico ma</w:t>
      </w:r>
      <w:r w:rsidR="00881990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soprattutto</w:t>
      </w:r>
      <w:r w:rsidR="00881990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immunologico già completo dopo il terzo mese dal trapianto, proteggendo o</w:t>
      </w:r>
      <w:r w:rsidR="00881990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comunque</w:t>
      </w:r>
      <w:r w:rsidR="00881990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riducendo in maniera significativa il rischio di insorgenza </w:t>
      </w:r>
      <w:r w:rsidR="00881990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della GVHD, nonché garantendo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un’azione immunologica efficace contro la malattia e</w:t>
      </w:r>
      <w:r w:rsidR="0041139D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nello stesso</w:t>
      </w:r>
      <w:r w:rsidR="0041139D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tempo,</w:t>
      </w:r>
      <w:r w:rsidR="0088199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proteggendo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verso l’insorgenza di complicanze infettive. </w:t>
      </w:r>
    </w:p>
    <w:p w:rsidR="00222E75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Gli svantaggi teorici sono rappresentati soprattutto dal rischio GVHD</w:t>
      </w:r>
      <w:r w:rsidR="0041139D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, posto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che nel prodotto trapiantato sono contenute anche cellule linfoidi, che sono</w:t>
      </w:r>
      <w:r w:rsidR="0088199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le cellule effettrici le quali,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come si diceva in precedenza,</w:t>
      </w:r>
      <w:r w:rsidR="0088199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sono</w:t>
      </w:r>
      <w:r w:rsidR="00222E75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responsabili di questo evento.</w:t>
      </w:r>
    </w:p>
    <w:p w:rsidR="00222E75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Il problema è stato affrontato attraverso l’utilizzo di farmaci nel dopo trapianto che riescono</w:t>
      </w:r>
      <w:r w:rsidR="0088199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controllare con successo questo problem</w:t>
      </w:r>
      <w:r w:rsidR="00222E75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a senza condizionare il buon esito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del trapianto sul versante della malattia.</w:t>
      </w:r>
    </w:p>
    <w:p w:rsidR="00222E75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In particolare, l’uso della Ciclofosfamide</w:t>
      </w:r>
      <w:r w:rsidR="00AA27E7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(8,9,10)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, un antico e sempre valido farmaco utilizzato nel trattamento di tante patologie di tipo neoplastico e immunologico</w:t>
      </w:r>
      <w:r w:rsidR="00222E75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ha positivamente stravolto la storia di </w:t>
      </w:r>
      <w:r w:rsidR="00222E75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questa tecnica trapiantologica.</w:t>
      </w:r>
    </w:p>
    <w:p w:rsidR="00222E75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Infatti, questo farmaco è capace di bloccare l’azione dannosa delle cellule linfocitarie preservando contemporaneament</w:t>
      </w:r>
      <w:r w:rsidR="00881990">
        <w:rPr>
          <w:rFonts w:ascii="Times New Roman" w:eastAsia="Times New Roman" w:hAnsi="Times New Roman" w:cs="Times New Roman"/>
          <w:sz w:val="24"/>
          <w:szCs w:val="24"/>
          <w:lang w:eastAsia="it-IT"/>
        </w:rPr>
        <w:t>e le cellule staminali, posto che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queste ultime</w:t>
      </w:r>
      <w:r w:rsidR="00222E75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sono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provviste di meccanismi biochimici protettivi.</w:t>
      </w:r>
    </w:p>
    <w:p w:rsidR="002220A6" w:rsidRPr="006F1877" w:rsidRDefault="002220A6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L’altro limite è che la procedura in oggetto trova applicazione solo da pochi anni per cui mancano follow-up di lunga durata che possano consolidare queste esperienze.  </w:t>
      </w:r>
    </w:p>
    <w:p w:rsidR="00D47111" w:rsidRPr="006F1877" w:rsidRDefault="00520120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="003C4B8C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l nostro lavoro partendo dall’esperienza del gruppo di Baltimora e dall’osservazione che il principale problema insoluto erano le recidive, ha apportato una modifica</w:t>
      </w:r>
      <w:r w:rsidR="00D47111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nel regime di condizionamento.</w:t>
      </w:r>
    </w:p>
    <w:p w:rsidR="003C4B8C" w:rsidRPr="006F1877" w:rsidRDefault="003C4B8C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pratica è stata sostituita la Ciclofosfamide, farmaco utilizzato soprattutto come immunomodulatore nel post-trapianto ma che nel programma di Baltimora era contemplato anche nello schema di </w:t>
      </w:r>
      <w:r w:rsidR="00C030EB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condizionamento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al trapianto con un farmaco, il Thiotepa, che oltre che essere un ottimo immunomodulatore è anche un potente farmaco mieloablativo, cioè capace di abbattere una grossa quantità di cellule neoplastiche. </w:t>
      </w:r>
    </w:p>
    <w:p w:rsidR="00D47111" w:rsidRPr="006F1877" w:rsidRDefault="003C4B8C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C030EB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 dati in nostro possesso, pur essendo condizionati dalla casistica piccola e da un breve follow-up, </w:t>
      </w:r>
      <w:r w:rsidR="00520120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possono es</w:t>
      </w:r>
      <w:r w:rsidR="00D47111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sere considerati incoraggianti.</w:t>
      </w:r>
    </w:p>
    <w:p w:rsidR="00D47111" w:rsidRPr="006F1877" w:rsidRDefault="007A0202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Intanto è una procedura sicura,</w:t>
      </w:r>
      <w:r w:rsidR="00A97A4A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infatti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="00A97A4A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nessun paziente è deceduto per la tossicità dei trattamenti.</w:t>
      </w:r>
    </w:p>
    <w:p w:rsidR="001E5E43" w:rsidRPr="006F1877" w:rsidRDefault="00EC61CF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 xml:space="preserve">Le principali complicanze osservate come la </w:t>
      </w:r>
      <w:r w:rsidR="00C030EB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febbre e le 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mucosit</w:t>
      </w:r>
      <w:r w:rsidR="00C030EB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sono state di grado minimo e si sono risolte abbastanza rapidamente senza</w:t>
      </w:r>
      <w:r w:rsidR="001E5E43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lasciare sequele sul paziente.</w:t>
      </w:r>
    </w:p>
    <w:p w:rsidR="001E5E43" w:rsidRPr="006F1877" w:rsidRDefault="00A97A4A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Tutti i pazienti hanno presentato un recupero della funzionalità emopoietica con modalità sovrapponibili ad un trapianto familiare da donatore HLA co</w:t>
      </w:r>
      <w:r w:rsidR="001E5E43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mpatibile.</w:t>
      </w:r>
    </w:p>
    <w:p w:rsidR="001E5E43" w:rsidRPr="006F1877" w:rsidRDefault="00EC61CF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Tutto ciò ha determinato una drastica riduzione delle complicanze di tipo infettivo </w:t>
      </w:r>
      <w:r w:rsidR="00A86674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e la</w:t>
      </w:r>
      <w:r w:rsidR="001E5E43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durata della ospedalizzazione.</w:t>
      </w:r>
    </w:p>
    <w:p w:rsidR="001E5E43" w:rsidRPr="006F1877" w:rsidRDefault="00476A3E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L’incidenza della GVHD è risultata trascurabile e non ha compromesso in alcun modo </w:t>
      </w:r>
      <w:r w:rsidR="00A86674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né 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la qualità della vita </w:t>
      </w:r>
      <w:r w:rsidR="00A86674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né ha impattato negativament</w:t>
      </w:r>
      <w:r w:rsidR="001E5E43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e sul controllo della malattia.</w:t>
      </w:r>
    </w:p>
    <w:p w:rsidR="001E5E43" w:rsidRPr="006F1877" w:rsidRDefault="00A86674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Infatti, t</w:t>
      </w:r>
      <w:r w:rsidR="00476A3E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enendo conto della gravità delle patologie avviate a trapianto soltanto tre pazienti sono d</w:t>
      </w:r>
      <w:r w:rsidR="001E5E43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eceduti a causa della malattia.</w:t>
      </w:r>
    </w:p>
    <w:p w:rsidR="00476A3E" w:rsidRPr="006F1877" w:rsidRDefault="00476A3E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Questo evento, in particolare, è stato osservato in pazienti </w:t>
      </w:r>
      <w:r w:rsidR="00EC61CF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in precedenza pesantemente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trattati e con una malattia molto avanzata. </w:t>
      </w:r>
    </w:p>
    <w:p w:rsidR="001E5E43" w:rsidRPr="006F1877" w:rsidRDefault="00EC61CF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In conclusione, si può affermare</w:t>
      </w:r>
      <w:r w:rsidR="00476A3E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che se ad un paziente viene posta diagnosi di emopatia</w:t>
      </w:r>
      <w:r w:rsidR="001E5E43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, soprattutto leucemia acuta</w:t>
      </w:r>
      <w:r w:rsidR="00FF61AB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476A3E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con fattori prognostici sfavorevoli</w:t>
      </w:r>
      <w:r w:rsidR="002220A6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="00FF61AB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trova indicazione assoluta lo studio HLA con i familiari in senso sia verticale (genitori) sia in senso long</w:t>
      </w:r>
      <w:r w:rsidR="001E5E43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itudinale (sorelle e fratelli).</w:t>
      </w:r>
    </w:p>
    <w:p w:rsidR="001E5E43" w:rsidRPr="006F1877" w:rsidRDefault="00C030EB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Nella tabella 4 sono riassunte le patologie più frequenti per cui trova indicazione un trapianto da dona</w:t>
      </w:r>
      <w:r w:rsidR="001E5E43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tore familiare non compatibile.</w:t>
      </w:r>
    </w:p>
    <w:p w:rsidR="001E5E43" w:rsidRPr="006F1877" w:rsidRDefault="00FF61AB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La mancanza di un do</w:t>
      </w:r>
      <w:r w:rsidR="009706BD">
        <w:rPr>
          <w:rFonts w:ascii="Times New Roman" w:eastAsia="Times New Roman" w:hAnsi="Times New Roman" w:cs="Times New Roman"/>
          <w:sz w:val="24"/>
          <w:szCs w:val="24"/>
          <w:lang w:eastAsia="it-IT"/>
        </w:rPr>
        <w:t>natore compatibile porterà all’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attivazione del registro internazionale di donatori vol</w:t>
      </w:r>
      <w:r w:rsidR="001E5E43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ontari o da cordone ombelicale.</w:t>
      </w:r>
    </w:p>
    <w:p w:rsidR="001E5E43" w:rsidRPr="006F1877" w:rsidRDefault="00FF61AB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Il mancato reperimento di un donat</w:t>
      </w:r>
      <w:r w:rsidR="009706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ore volontario </w:t>
      </w:r>
      <w:r w:rsidR="00C30BEB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impone l’identificazione nel contesto della famiglia di un donatore idoneo</w:t>
      </w:r>
      <w:r w:rsidR="009706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sia pur</w:t>
      </w:r>
      <w:r w:rsidR="00C30BEB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parzialmente compatibile.</w:t>
      </w:r>
    </w:p>
    <w:p w:rsidR="00E42777" w:rsidRPr="006F1877" w:rsidRDefault="00FF61AB" w:rsidP="00881990">
      <w:pPr>
        <w:spacing w:before="150" w:after="150" w:line="36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Pertanto</w:t>
      </w:r>
      <w:r w:rsidR="00C30BEB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si può </w:t>
      </w:r>
      <w:r w:rsidR="00C30BEB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concludere 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che</w:t>
      </w:r>
      <w:r w:rsidR="00C30BEB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un paziente per il quale </w:t>
      </w:r>
      <w:r w:rsidR="00C30BEB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ci sia l’indicazione ad un trapianto allogenico, </w:t>
      </w:r>
      <w:r w:rsidR="00EC61CF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deve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essere certamente avviato ad uno di questi percorsi</w:t>
      </w:r>
      <w:r w:rsidR="00C30BEB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per assicurare il miglior trattamento finalizzato in ultimo alla guarigione.</w:t>
      </w:r>
    </w:p>
    <w:p w:rsidR="00E42777" w:rsidRDefault="00E42777" w:rsidP="00881990">
      <w:pPr>
        <w:spacing w:before="150" w:after="150" w:line="351" w:lineRule="atLeast"/>
        <w:ind w:left="851" w:right="566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9706BD" w:rsidRDefault="009706BD" w:rsidP="00881990">
      <w:pPr>
        <w:spacing w:before="150" w:after="150" w:line="351" w:lineRule="atLeast"/>
        <w:ind w:left="851" w:right="566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9706BD" w:rsidRDefault="009706BD" w:rsidP="00881990">
      <w:pPr>
        <w:spacing w:before="150" w:after="150" w:line="351" w:lineRule="atLeast"/>
        <w:ind w:left="851" w:right="566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9706BD" w:rsidRDefault="009706BD" w:rsidP="00881990">
      <w:pPr>
        <w:spacing w:before="150" w:after="150" w:line="351" w:lineRule="atLeast"/>
        <w:ind w:left="851" w:right="566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8F6FDD" w:rsidRDefault="008F6FDD" w:rsidP="00881990">
      <w:pPr>
        <w:spacing w:before="150" w:after="150" w:line="351" w:lineRule="atLeast"/>
        <w:ind w:left="851" w:right="566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8F6FDD" w:rsidRDefault="008F6FDD" w:rsidP="00881990">
      <w:pPr>
        <w:spacing w:before="150" w:after="150" w:line="351" w:lineRule="atLeast"/>
        <w:ind w:left="851" w:right="566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8F6FDD" w:rsidRPr="006F1877" w:rsidRDefault="008F6FDD" w:rsidP="00881990">
      <w:pPr>
        <w:spacing w:before="150" w:after="150" w:line="351" w:lineRule="atLeast"/>
        <w:ind w:left="851" w:right="566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E42777" w:rsidRPr="006F1877" w:rsidRDefault="00E42777" w:rsidP="00881990">
      <w:pPr>
        <w:pStyle w:val="Didascalia"/>
        <w:keepNext/>
        <w:ind w:left="851" w:right="566"/>
        <w:jc w:val="center"/>
        <w:rPr>
          <w:color w:val="auto"/>
          <w:sz w:val="24"/>
          <w:szCs w:val="24"/>
        </w:rPr>
      </w:pPr>
      <w:r w:rsidRPr="006F1877">
        <w:rPr>
          <w:color w:val="auto"/>
          <w:sz w:val="24"/>
          <w:szCs w:val="24"/>
        </w:rPr>
        <w:t xml:space="preserve">Figura </w:t>
      </w:r>
      <w:r w:rsidR="00A90B68" w:rsidRPr="006F1877">
        <w:rPr>
          <w:color w:val="auto"/>
          <w:sz w:val="24"/>
          <w:szCs w:val="24"/>
        </w:rPr>
        <w:fldChar w:fldCharType="begin"/>
      </w:r>
      <w:r w:rsidRPr="006F1877">
        <w:rPr>
          <w:color w:val="auto"/>
          <w:sz w:val="24"/>
          <w:szCs w:val="24"/>
        </w:rPr>
        <w:instrText xml:space="preserve"> SEQ Figura \* ARABIC </w:instrText>
      </w:r>
      <w:r w:rsidR="00A90B68" w:rsidRPr="006F1877">
        <w:rPr>
          <w:color w:val="auto"/>
          <w:sz w:val="24"/>
          <w:szCs w:val="24"/>
        </w:rPr>
        <w:fldChar w:fldCharType="separate"/>
      </w:r>
      <w:r w:rsidRPr="006F1877">
        <w:rPr>
          <w:noProof/>
          <w:color w:val="auto"/>
          <w:sz w:val="24"/>
          <w:szCs w:val="24"/>
        </w:rPr>
        <w:t>1</w:t>
      </w:r>
      <w:r w:rsidR="00A90B68" w:rsidRPr="006F1877">
        <w:rPr>
          <w:color w:val="auto"/>
          <w:sz w:val="24"/>
          <w:szCs w:val="24"/>
        </w:rPr>
        <w:fldChar w:fldCharType="end"/>
      </w:r>
      <w:r w:rsidRPr="006F1877">
        <w:rPr>
          <w:color w:val="auto"/>
          <w:sz w:val="24"/>
          <w:szCs w:val="24"/>
        </w:rPr>
        <w:t>: Schema di trattamento</w:t>
      </w:r>
    </w:p>
    <w:p w:rsidR="00672ACD" w:rsidRPr="006F1877" w:rsidRDefault="00E42777" w:rsidP="00881990">
      <w:pPr>
        <w:spacing w:before="150" w:after="150" w:line="351" w:lineRule="atLeast"/>
        <w:ind w:left="851" w:right="56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object w:dxaOrig="7083" w:dyaOrig="52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30pt" o:ole="">
            <v:imagedata r:id="rId9" o:title=""/>
          </v:shape>
          <o:OLEObject Type="Embed" ProgID="PowerPoint.Slide.12" ShapeID="_x0000_i1025" DrawAspect="Content" ObjectID="_1397900371" r:id="rId10"/>
        </w:object>
      </w:r>
    </w:p>
    <w:p w:rsidR="009541EB" w:rsidRPr="006F1877" w:rsidRDefault="009541EB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1E5E43" w:rsidRPr="006F1877" w:rsidRDefault="001E5E43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1E5E43" w:rsidRPr="006F1877" w:rsidRDefault="001E5E43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1E5E43" w:rsidRPr="006F1877" w:rsidRDefault="001E5E43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1E5E43" w:rsidRPr="006F1877" w:rsidRDefault="001E5E43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9706BD" w:rsidRDefault="009706BD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8F6FDD" w:rsidRDefault="008F6FDD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8F6FDD" w:rsidRDefault="008F6FDD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9706BD" w:rsidRDefault="009706BD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9706BD" w:rsidRPr="006F1877" w:rsidRDefault="009706BD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AE7ED9" w:rsidRPr="006F1877" w:rsidRDefault="00AE7ED9" w:rsidP="00881990">
      <w:pPr>
        <w:spacing w:before="150" w:after="150" w:line="240" w:lineRule="auto"/>
        <w:ind w:left="851" w:right="566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T</w:t>
      </w:r>
      <w:r w:rsidR="004C6948"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abella</w:t>
      </w:r>
      <w:r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1</w:t>
      </w:r>
      <w:r w:rsidR="001A1706"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:</w:t>
      </w:r>
      <w:r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="00265453"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Caratteristiche dei pazienti</w:t>
      </w:r>
    </w:p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AE7ED9" w:rsidRPr="006F1877" w:rsidTr="00AE7ED9">
        <w:tc>
          <w:tcPr>
            <w:tcW w:w="4889" w:type="dxa"/>
          </w:tcPr>
          <w:p w:rsidR="00AE7ED9" w:rsidRPr="006F1877" w:rsidRDefault="00AE7ED9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N. pazienti</w:t>
            </w:r>
          </w:p>
        </w:tc>
        <w:tc>
          <w:tcPr>
            <w:tcW w:w="4889" w:type="dxa"/>
          </w:tcPr>
          <w:p w:rsidR="00AE7ED9" w:rsidRPr="006F1877" w:rsidRDefault="00A670B3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</w:tr>
      <w:tr w:rsidR="00AE7ED9" w:rsidRPr="006F1877" w:rsidTr="00AE7ED9">
        <w:tc>
          <w:tcPr>
            <w:tcW w:w="4889" w:type="dxa"/>
          </w:tcPr>
          <w:p w:rsidR="00AE7ED9" w:rsidRPr="006F1877" w:rsidRDefault="00AE7ED9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Età mediana (range)</w:t>
            </w:r>
          </w:p>
        </w:tc>
        <w:tc>
          <w:tcPr>
            <w:tcW w:w="4889" w:type="dxa"/>
          </w:tcPr>
          <w:p w:rsidR="00AE7ED9" w:rsidRPr="006F1877" w:rsidRDefault="00A670B3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43 (6-58)</w:t>
            </w:r>
          </w:p>
        </w:tc>
      </w:tr>
      <w:tr w:rsidR="00AE7ED9" w:rsidRPr="006F1877" w:rsidTr="00AE7ED9">
        <w:tc>
          <w:tcPr>
            <w:tcW w:w="4889" w:type="dxa"/>
          </w:tcPr>
          <w:p w:rsidR="00AE7ED9" w:rsidRPr="006F1877" w:rsidRDefault="00AE7ED9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Sesso</w:t>
            </w:r>
            <w:r w:rsidR="00A93C64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(M/F)</w:t>
            </w:r>
          </w:p>
        </w:tc>
        <w:tc>
          <w:tcPr>
            <w:tcW w:w="4889" w:type="dxa"/>
          </w:tcPr>
          <w:p w:rsidR="00AE7ED9" w:rsidRPr="006F1877" w:rsidRDefault="00A670B3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7/7</w:t>
            </w:r>
          </w:p>
        </w:tc>
      </w:tr>
      <w:tr w:rsidR="00AE7ED9" w:rsidRPr="006F1877" w:rsidTr="00AE7ED9">
        <w:tc>
          <w:tcPr>
            <w:tcW w:w="4889" w:type="dxa"/>
          </w:tcPr>
          <w:p w:rsidR="00AE7ED9" w:rsidRPr="006F1877" w:rsidRDefault="00A93C64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Patologia</w:t>
            </w:r>
          </w:p>
        </w:tc>
        <w:tc>
          <w:tcPr>
            <w:tcW w:w="4889" w:type="dxa"/>
          </w:tcPr>
          <w:p w:rsidR="00AE7ED9" w:rsidRPr="006F1877" w:rsidRDefault="00A670B3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 AML, 3 ALL, 2 Leucemia Mieloide Cr</w:t>
            </w:r>
            <w:r w:rsidR="00371B56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nica</w:t>
            </w:r>
            <w:r w:rsidR="00371B56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(</w:t>
            </w:r>
            <w:r w:rsidR="00520120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CML</w:t>
            </w:r>
            <w:r w:rsidR="00371B56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)</w:t>
            </w:r>
          </w:p>
        </w:tc>
      </w:tr>
      <w:tr w:rsidR="00AE7ED9" w:rsidRPr="006F1877" w:rsidTr="00AE7ED9">
        <w:tc>
          <w:tcPr>
            <w:tcW w:w="4889" w:type="dxa"/>
          </w:tcPr>
          <w:p w:rsidR="00AE7ED9" w:rsidRPr="006F1877" w:rsidRDefault="00A93C64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Stato al trapianto</w:t>
            </w:r>
          </w:p>
        </w:tc>
        <w:tc>
          <w:tcPr>
            <w:tcW w:w="4889" w:type="dxa"/>
          </w:tcPr>
          <w:p w:rsidR="00AE7ED9" w:rsidRPr="006F1877" w:rsidRDefault="00A670B3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 I Remissione Completa ad alto o intermedio rischio molecola</w:t>
            </w:r>
            <w:r w:rsidR="00520120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</w:t>
            </w:r>
            <w:r w:rsidR="001A1706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e/o citogenetico; </w:t>
            </w:r>
            <w:r w:rsidR="00371B56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 in II Remissione Completa ad alto o interm</w:t>
            </w:r>
            <w:r w:rsidR="00926F2B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</w:t>
            </w:r>
            <w:r w:rsidR="00371B56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dio rischio molecola</w:t>
            </w:r>
            <w:r w:rsidR="00520120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</w:t>
            </w:r>
            <w:r w:rsidR="00371B56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e/o citogenetico; 1 in recidiva ; 2 in fase accelerata di </w:t>
            </w:r>
            <w:r w:rsidR="00520120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CML</w:t>
            </w:r>
          </w:p>
        </w:tc>
      </w:tr>
      <w:tr w:rsidR="00AE7ED9" w:rsidRPr="006F1877" w:rsidTr="00AE7ED9">
        <w:tc>
          <w:tcPr>
            <w:tcW w:w="4889" w:type="dxa"/>
          </w:tcPr>
          <w:p w:rsidR="00AE7ED9" w:rsidRPr="006F1877" w:rsidRDefault="00520120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Pazienti con p</w:t>
            </w:r>
            <w:r w:rsidR="00A93C64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recedenti trapiant</w:t>
            </w: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  <w:r w:rsidR="00A93C64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autolog</w:t>
            </w: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</w:p>
        </w:tc>
        <w:tc>
          <w:tcPr>
            <w:tcW w:w="4889" w:type="dxa"/>
          </w:tcPr>
          <w:p w:rsidR="00AE7ED9" w:rsidRPr="006F1877" w:rsidRDefault="00A670B3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</w:tr>
    </w:tbl>
    <w:p w:rsidR="00265453" w:rsidRPr="006F1877" w:rsidRDefault="00265453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265453" w:rsidRPr="006F1877" w:rsidRDefault="00265453" w:rsidP="00881990">
      <w:pPr>
        <w:spacing w:before="150" w:after="150" w:line="240" w:lineRule="auto"/>
        <w:ind w:left="851" w:right="566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T</w:t>
      </w:r>
      <w:r w:rsidR="004C6948"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abella</w:t>
      </w:r>
      <w:r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2</w:t>
      </w:r>
      <w:r w:rsidR="001A1706"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:</w:t>
      </w:r>
      <w:r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Outcome del trapianto</w:t>
      </w:r>
    </w:p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265453" w:rsidRPr="006F1877" w:rsidTr="00265453">
        <w:tc>
          <w:tcPr>
            <w:tcW w:w="4889" w:type="dxa"/>
          </w:tcPr>
          <w:p w:rsidR="00265453" w:rsidRPr="006F1877" w:rsidRDefault="00265453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Recupero mediano granulociti neutrofil</w:t>
            </w:r>
            <w:r w:rsidR="0046315F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</w:t>
            </w: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&gt;500</w:t>
            </w:r>
          </w:p>
        </w:tc>
        <w:tc>
          <w:tcPr>
            <w:tcW w:w="4889" w:type="dxa"/>
          </w:tcPr>
          <w:p w:rsidR="00265453" w:rsidRPr="006F1877" w:rsidRDefault="00265453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 gg (r. 14-36)</w:t>
            </w:r>
          </w:p>
        </w:tc>
      </w:tr>
      <w:tr w:rsidR="00265453" w:rsidRPr="006F1877" w:rsidTr="00265453">
        <w:tc>
          <w:tcPr>
            <w:tcW w:w="4889" w:type="dxa"/>
          </w:tcPr>
          <w:p w:rsidR="00265453" w:rsidRPr="006F1877" w:rsidRDefault="00265453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Recupero mediano piastrine &gt;20.000</w:t>
            </w:r>
          </w:p>
        </w:tc>
        <w:tc>
          <w:tcPr>
            <w:tcW w:w="4889" w:type="dxa"/>
          </w:tcPr>
          <w:p w:rsidR="00265453" w:rsidRPr="006F1877" w:rsidRDefault="00265453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 gg (r.16-65)</w:t>
            </w:r>
          </w:p>
        </w:tc>
      </w:tr>
      <w:tr w:rsidR="00265453" w:rsidRPr="006F1877" w:rsidTr="00265453">
        <w:tc>
          <w:tcPr>
            <w:tcW w:w="4889" w:type="dxa"/>
          </w:tcPr>
          <w:p w:rsidR="00265453" w:rsidRPr="006F1877" w:rsidRDefault="00265453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Febbre  si/no</w:t>
            </w:r>
          </w:p>
        </w:tc>
        <w:tc>
          <w:tcPr>
            <w:tcW w:w="4889" w:type="dxa"/>
          </w:tcPr>
          <w:p w:rsidR="00265453" w:rsidRPr="006F1877" w:rsidRDefault="00265453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4/7</w:t>
            </w:r>
          </w:p>
        </w:tc>
      </w:tr>
      <w:tr w:rsidR="00265453" w:rsidRPr="006F1877" w:rsidTr="00265453">
        <w:tc>
          <w:tcPr>
            <w:tcW w:w="4889" w:type="dxa"/>
          </w:tcPr>
          <w:p w:rsidR="00265453" w:rsidRPr="006F1877" w:rsidRDefault="00265453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Altre complicanze</w:t>
            </w:r>
          </w:p>
        </w:tc>
        <w:tc>
          <w:tcPr>
            <w:tcW w:w="4889" w:type="dxa"/>
          </w:tcPr>
          <w:p w:rsidR="00265453" w:rsidRPr="006F1877" w:rsidRDefault="00A52DEB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Mucosite grado</w:t>
            </w:r>
            <w:r w:rsidR="00265453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1:</w:t>
            </w: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265453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 casi; grado 2: 4 casi; ematuria 2 casi; discite 1 caso</w:t>
            </w:r>
          </w:p>
        </w:tc>
      </w:tr>
      <w:tr w:rsidR="00265453" w:rsidRPr="006F1877" w:rsidTr="00265453">
        <w:tc>
          <w:tcPr>
            <w:tcW w:w="4889" w:type="dxa"/>
          </w:tcPr>
          <w:p w:rsidR="00265453" w:rsidRPr="006F1877" w:rsidRDefault="00265453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GVHD acuta</w:t>
            </w:r>
          </w:p>
        </w:tc>
        <w:tc>
          <w:tcPr>
            <w:tcW w:w="4889" w:type="dxa"/>
          </w:tcPr>
          <w:p w:rsidR="00265453" w:rsidRPr="006F1877" w:rsidRDefault="00A52DEB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2/11 valutabili</w:t>
            </w:r>
            <w:r w:rsidR="00265453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</w:tr>
      <w:tr w:rsidR="00265453" w:rsidRPr="006F1877" w:rsidTr="00265453">
        <w:tc>
          <w:tcPr>
            <w:tcW w:w="4889" w:type="dxa"/>
          </w:tcPr>
          <w:p w:rsidR="00265453" w:rsidRPr="006F1877" w:rsidRDefault="00265453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GVHD cronica</w:t>
            </w:r>
          </w:p>
        </w:tc>
        <w:tc>
          <w:tcPr>
            <w:tcW w:w="4889" w:type="dxa"/>
          </w:tcPr>
          <w:p w:rsidR="00265453" w:rsidRPr="006F1877" w:rsidRDefault="00265453" w:rsidP="00881990">
            <w:pPr>
              <w:spacing w:before="150" w:after="150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 w:rsidR="00A52DEB"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/11 valutabili</w:t>
            </w:r>
          </w:p>
        </w:tc>
      </w:tr>
    </w:tbl>
    <w:p w:rsidR="00EC61CF" w:rsidRDefault="00EC61CF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9706BD" w:rsidRPr="006F1877" w:rsidRDefault="009706BD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E42777" w:rsidRDefault="00E42777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8F6FDD" w:rsidRPr="006F1877" w:rsidRDefault="008F6FDD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6265FF" w:rsidRDefault="0068358C" w:rsidP="00881990">
      <w:pPr>
        <w:spacing w:before="150" w:after="150" w:line="240" w:lineRule="auto"/>
        <w:ind w:left="851" w:right="566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T</w:t>
      </w:r>
      <w:r w:rsidR="004C6948"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abella</w:t>
      </w:r>
      <w:r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3</w:t>
      </w:r>
      <w:r w:rsidR="001A1706"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:</w:t>
      </w:r>
      <w:r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="006265FF"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Risposta trapianto e stato attuale</w:t>
      </w:r>
    </w:p>
    <w:p w:rsidR="008F6FDD" w:rsidRDefault="008F6FDD" w:rsidP="00881990">
      <w:pPr>
        <w:spacing w:before="150" w:after="150" w:line="240" w:lineRule="auto"/>
        <w:ind w:left="851" w:right="566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9706BD" w:rsidRPr="009706BD" w:rsidRDefault="009706BD" w:rsidP="008F6FDD">
      <w:pPr>
        <w:tabs>
          <w:tab w:val="left" w:pos="9923"/>
        </w:tabs>
        <w:spacing w:before="150" w:after="150" w:line="240" w:lineRule="auto"/>
        <w:ind w:left="-567" w:right="-85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Paziente N            </w:t>
      </w:r>
      <w:r w:rsidR="008F6FD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Risposta trapianto                       Vivente              </w:t>
      </w:r>
      <w:r w:rsidR="008F6FD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8F6FD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Causa decesso        </w:t>
      </w:r>
      <w:r w:rsidR="008F6FD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Mesi follo</w:t>
      </w:r>
      <w:r w:rsidR="008F6FDD">
        <w:rPr>
          <w:rFonts w:ascii="Times New Roman" w:eastAsia="Times New Roman" w:hAnsi="Times New Roman" w:cs="Times New Roman"/>
          <w:sz w:val="24"/>
          <w:szCs w:val="24"/>
          <w:lang w:eastAsia="it-IT"/>
        </w:rPr>
        <w:t>w-up</w:t>
      </w:r>
    </w:p>
    <w:tbl>
      <w:tblPr>
        <w:tblStyle w:val="Grigliatabella"/>
        <w:tblW w:w="11267" w:type="dxa"/>
        <w:tblInd w:w="-601" w:type="dxa"/>
        <w:tblLayout w:type="fixed"/>
        <w:tblLook w:val="04A0"/>
      </w:tblPr>
      <w:tblGrid>
        <w:gridCol w:w="1418"/>
        <w:gridCol w:w="3107"/>
        <w:gridCol w:w="2393"/>
        <w:gridCol w:w="2433"/>
        <w:gridCol w:w="1916"/>
      </w:tblGrid>
      <w:tr w:rsidR="006265FF" w:rsidRPr="006F1877" w:rsidTr="009706BD">
        <w:tc>
          <w:tcPr>
            <w:tcW w:w="1418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3107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RC</w:t>
            </w:r>
          </w:p>
        </w:tc>
        <w:tc>
          <w:tcPr>
            <w:tcW w:w="2393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</w:t>
            </w:r>
          </w:p>
        </w:tc>
        <w:tc>
          <w:tcPr>
            <w:tcW w:w="2433" w:type="dxa"/>
          </w:tcPr>
          <w:p w:rsidR="006265FF" w:rsidRPr="006F1877" w:rsidRDefault="006265FF" w:rsidP="008F6FDD">
            <w:pPr>
              <w:spacing w:before="150" w:after="150"/>
              <w:ind w:left="851"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916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</w:tr>
      <w:tr w:rsidR="006265FF" w:rsidRPr="006F1877" w:rsidTr="009706BD">
        <w:tc>
          <w:tcPr>
            <w:tcW w:w="1418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3107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RC</w:t>
            </w:r>
          </w:p>
        </w:tc>
        <w:tc>
          <w:tcPr>
            <w:tcW w:w="2393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</w:t>
            </w:r>
          </w:p>
        </w:tc>
        <w:tc>
          <w:tcPr>
            <w:tcW w:w="2433" w:type="dxa"/>
          </w:tcPr>
          <w:p w:rsidR="006265FF" w:rsidRPr="006F1877" w:rsidRDefault="006265FF" w:rsidP="008F6FDD">
            <w:pPr>
              <w:spacing w:before="150" w:after="150"/>
              <w:ind w:left="851"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916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</w:p>
        </w:tc>
      </w:tr>
      <w:tr w:rsidR="006265FF" w:rsidRPr="006F1877" w:rsidTr="009706BD">
        <w:tc>
          <w:tcPr>
            <w:tcW w:w="1418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3107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RC</w:t>
            </w:r>
          </w:p>
        </w:tc>
        <w:tc>
          <w:tcPr>
            <w:tcW w:w="2393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</w:t>
            </w:r>
          </w:p>
        </w:tc>
        <w:tc>
          <w:tcPr>
            <w:tcW w:w="2433" w:type="dxa"/>
          </w:tcPr>
          <w:p w:rsidR="006265FF" w:rsidRPr="006F1877" w:rsidRDefault="006265FF" w:rsidP="008F6FDD">
            <w:pPr>
              <w:spacing w:before="150" w:after="150"/>
              <w:ind w:left="851"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916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</w:tr>
      <w:tr w:rsidR="006265FF" w:rsidRPr="006F1877" w:rsidTr="009706BD">
        <w:tc>
          <w:tcPr>
            <w:tcW w:w="1418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3107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Malattia</w:t>
            </w:r>
          </w:p>
        </w:tc>
        <w:tc>
          <w:tcPr>
            <w:tcW w:w="2393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</w:t>
            </w:r>
          </w:p>
        </w:tc>
        <w:tc>
          <w:tcPr>
            <w:tcW w:w="2433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Malattia</w:t>
            </w:r>
          </w:p>
        </w:tc>
        <w:tc>
          <w:tcPr>
            <w:tcW w:w="1916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</w:tr>
      <w:tr w:rsidR="006265FF" w:rsidRPr="006F1877" w:rsidTr="009706BD">
        <w:tc>
          <w:tcPr>
            <w:tcW w:w="1418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3107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RC</w:t>
            </w:r>
          </w:p>
        </w:tc>
        <w:tc>
          <w:tcPr>
            <w:tcW w:w="2393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</w:t>
            </w:r>
          </w:p>
        </w:tc>
        <w:tc>
          <w:tcPr>
            <w:tcW w:w="2433" w:type="dxa"/>
          </w:tcPr>
          <w:p w:rsidR="006265FF" w:rsidRPr="006F1877" w:rsidRDefault="006265FF" w:rsidP="008F6FDD">
            <w:pPr>
              <w:spacing w:before="150" w:after="150"/>
              <w:ind w:left="851"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916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</w:tr>
      <w:tr w:rsidR="006265FF" w:rsidRPr="006F1877" w:rsidTr="009706BD">
        <w:tc>
          <w:tcPr>
            <w:tcW w:w="1418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3107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Shock</w:t>
            </w:r>
          </w:p>
        </w:tc>
        <w:tc>
          <w:tcPr>
            <w:tcW w:w="2393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</w:t>
            </w:r>
          </w:p>
        </w:tc>
        <w:tc>
          <w:tcPr>
            <w:tcW w:w="2433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Shock</w:t>
            </w:r>
          </w:p>
        </w:tc>
        <w:tc>
          <w:tcPr>
            <w:tcW w:w="1916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</w:tr>
      <w:tr w:rsidR="006265FF" w:rsidRPr="006F1877" w:rsidTr="009706BD">
        <w:tc>
          <w:tcPr>
            <w:tcW w:w="1418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3107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RC</w:t>
            </w:r>
          </w:p>
        </w:tc>
        <w:tc>
          <w:tcPr>
            <w:tcW w:w="2393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</w:t>
            </w:r>
          </w:p>
        </w:tc>
        <w:tc>
          <w:tcPr>
            <w:tcW w:w="2433" w:type="dxa"/>
          </w:tcPr>
          <w:p w:rsidR="006265FF" w:rsidRPr="006F1877" w:rsidRDefault="006265FF" w:rsidP="008F6FDD">
            <w:pPr>
              <w:spacing w:before="150" w:after="150"/>
              <w:ind w:left="851"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916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</w:tr>
      <w:tr w:rsidR="006265FF" w:rsidRPr="006F1877" w:rsidTr="009706BD">
        <w:tc>
          <w:tcPr>
            <w:tcW w:w="1418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3107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RC</w:t>
            </w:r>
          </w:p>
        </w:tc>
        <w:tc>
          <w:tcPr>
            <w:tcW w:w="2393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</w:t>
            </w:r>
          </w:p>
        </w:tc>
        <w:tc>
          <w:tcPr>
            <w:tcW w:w="2433" w:type="dxa"/>
          </w:tcPr>
          <w:p w:rsidR="006265FF" w:rsidRPr="006F1877" w:rsidRDefault="006265FF" w:rsidP="008F6FDD">
            <w:pPr>
              <w:spacing w:before="150" w:after="150"/>
              <w:ind w:left="851"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916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</w:t>
            </w:r>
          </w:p>
        </w:tc>
      </w:tr>
      <w:tr w:rsidR="006265FF" w:rsidRPr="006F1877" w:rsidTr="009706BD">
        <w:tc>
          <w:tcPr>
            <w:tcW w:w="1418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3107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RC</w:t>
            </w:r>
          </w:p>
        </w:tc>
        <w:tc>
          <w:tcPr>
            <w:tcW w:w="2393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</w:t>
            </w:r>
          </w:p>
        </w:tc>
        <w:tc>
          <w:tcPr>
            <w:tcW w:w="2433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MOF</w:t>
            </w:r>
          </w:p>
        </w:tc>
        <w:tc>
          <w:tcPr>
            <w:tcW w:w="1916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</w:tr>
      <w:tr w:rsidR="006265FF" w:rsidRPr="006F1877" w:rsidTr="009706BD">
        <w:tc>
          <w:tcPr>
            <w:tcW w:w="1418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3107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RC</w:t>
            </w:r>
          </w:p>
        </w:tc>
        <w:tc>
          <w:tcPr>
            <w:tcW w:w="2393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</w:t>
            </w:r>
          </w:p>
        </w:tc>
        <w:tc>
          <w:tcPr>
            <w:tcW w:w="2433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Malattia</w:t>
            </w:r>
          </w:p>
        </w:tc>
        <w:tc>
          <w:tcPr>
            <w:tcW w:w="1916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</w:tr>
      <w:tr w:rsidR="006265FF" w:rsidRPr="006F1877" w:rsidTr="009706BD">
        <w:tc>
          <w:tcPr>
            <w:tcW w:w="1418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3107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RC</w:t>
            </w:r>
          </w:p>
        </w:tc>
        <w:tc>
          <w:tcPr>
            <w:tcW w:w="2393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</w:t>
            </w:r>
          </w:p>
        </w:tc>
        <w:tc>
          <w:tcPr>
            <w:tcW w:w="2433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Malattia</w:t>
            </w:r>
          </w:p>
        </w:tc>
        <w:tc>
          <w:tcPr>
            <w:tcW w:w="1916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</w:tr>
      <w:tr w:rsidR="006265FF" w:rsidRPr="006F1877" w:rsidTr="009706BD">
        <w:tc>
          <w:tcPr>
            <w:tcW w:w="1418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3107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Too early</w:t>
            </w:r>
          </w:p>
        </w:tc>
        <w:tc>
          <w:tcPr>
            <w:tcW w:w="2393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</w:t>
            </w:r>
          </w:p>
        </w:tc>
        <w:tc>
          <w:tcPr>
            <w:tcW w:w="2433" w:type="dxa"/>
          </w:tcPr>
          <w:p w:rsidR="006265FF" w:rsidRPr="006F1877" w:rsidRDefault="006265FF" w:rsidP="008F6FDD">
            <w:pPr>
              <w:spacing w:before="150" w:after="150"/>
              <w:ind w:left="851"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916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</w:tr>
      <w:tr w:rsidR="006265FF" w:rsidRPr="006F1877" w:rsidTr="009706BD">
        <w:tc>
          <w:tcPr>
            <w:tcW w:w="1418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3107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Too early</w:t>
            </w:r>
          </w:p>
        </w:tc>
        <w:tc>
          <w:tcPr>
            <w:tcW w:w="2393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</w:t>
            </w:r>
          </w:p>
        </w:tc>
        <w:tc>
          <w:tcPr>
            <w:tcW w:w="2433" w:type="dxa"/>
          </w:tcPr>
          <w:p w:rsidR="006265FF" w:rsidRPr="006F1877" w:rsidRDefault="006265FF" w:rsidP="008F6FDD">
            <w:pPr>
              <w:spacing w:before="150" w:after="150"/>
              <w:ind w:left="851"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916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</w:tr>
      <w:tr w:rsidR="006265FF" w:rsidRPr="006F1877" w:rsidTr="009706BD">
        <w:tc>
          <w:tcPr>
            <w:tcW w:w="1418" w:type="dxa"/>
          </w:tcPr>
          <w:p w:rsidR="006265FF" w:rsidRPr="006F1877" w:rsidRDefault="006265F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3107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Too early</w:t>
            </w:r>
          </w:p>
        </w:tc>
        <w:tc>
          <w:tcPr>
            <w:tcW w:w="2393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</w:t>
            </w:r>
          </w:p>
        </w:tc>
        <w:tc>
          <w:tcPr>
            <w:tcW w:w="2433" w:type="dxa"/>
          </w:tcPr>
          <w:p w:rsidR="006265FF" w:rsidRPr="006F1877" w:rsidRDefault="006265FF" w:rsidP="008F6FDD">
            <w:pPr>
              <w:spacing w:before="150" w:after="150"/>
              <w:ind w:left="851"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916" w:type="dxa"/>
          </w:tcPr>
          <w:p w:rsidR="006265FF" w:rsidRPr="006F1877" w:rsidRDefault="00B60F4F" w:rsidP="008F6FDD">
            <w:pPr>
              <w:spacing w:before="150" w:after="150"/>
              <w:ind w:right="56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</w:tr>
    </w:tbl>
    <w:p w:rsidR="00265453" w:rsidRPr="006F1877" w:rsidRDefault="00B60F4F" w:rsidP="00881990">
      <w:pPr>
        <w:spacing w:before="150" w:after="150" w:line="240" w:lineRule="auto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Legenda</w:t>
      </w:r>
      <w:r w:rsidR="008566AA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: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RC (Remissione Completa); Too early (risposta non ancora definitiva); MOF: </w:t>
      </w:r>
      <w:r w:rsidR="00E42777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</w:t>
      </w:r>
      <w:r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Multi Organ Failure</w:t>
      </w:r>
      <w:r w:rsidR="008566AA" w:rsidRPr="006F1877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:rsidR="00276998" w:rsidRPr="006F1877" w:rsidRDefault="00276998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276998" w:rsidRPr="006F1877" w:rsidRDefault="00276998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276998" w:rsidRPr="006F1877" w:rsidRDefault="00276998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E42777" w:rsidRDefault="00E42777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F6FDD" w:rsidRDefault="008F6FDD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F6FDD" w:rsidRPr="006F1877" w:rsidRDefault="008F6FDD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FA04E2" w:rsidRPr="006F1877" w:rsidRDefault="00FA04E2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EE17D0" w:rsidRPr="006F1877" w:rsidRDefault="00276998" w:rsidP="00881990">
      <w:pPr>
        <w:spacing w:before="150" w:after="150" w:line="351" w:lineRule="atLeast"/>
        <w:ind w:left="851" w:right="566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T</w:t>
      </w:r>
      <w:r w:rsidR="004C6948"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abella</w:t>
      </w:r>
      <w:r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4</w:t>
      </w:r>
      <w:r w:rsidR="001A1706"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:</w:t>
      </w:r>
      <w:r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Indicazioni al trapianto da donatore familiare non compatibile</w:t>
      </w:r>
    </w:p>
    <w:tbl>
      <w:tblPr>
        <w:tblW w:w="0" w:type="auto"/>
        <w:tblInd w:w="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25"/>
      </w:tblGrid>
      <w:tr w:rsidR="00EE17D0" w:rsidRPr="006F1877" w:rsidTr="00EE17D0">
        <w:trPr>
          <w:trHeight w:val="5145"/>
        </w:trPr>
        <w:tc>
          <w:tcPr>
            <w:tcW w:w="9225" w:type="dxa"/>
          </w:tcPr>
          <w:p w:rsidR="00EE17D0" w:rsidRPr="006F1877" w:rsidRDefault="00EE17D0" w:rsidP="00881990">
            <w:pPr>
              <w:spacing w:before="150" w:after="150" w:line="351" w:lineRule="atLeast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Non donatore consanguineo o da registro donatori volontari HLA compatibile</w:t>
            </w:r>
          </w:p>
          <w:p w:rsidR="00EE17D0" w:rsidRPr="006F1877" w:rsidRDefault="00EE17D0" w:rsidP="00881990">
            <w:pPr>
              <w:spacing w:before="150" w:after="150" w:line="351" w:lineRule="atLeast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AML o ALL con le seguenti caratteristiche</w:t>
            </w:r>
            <w:r w:rsidR="00A85409" w:rsidRPr="006F18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:</w:t>
            </w:r>
          </w:p>
          <w:p w:rsidR="00A85409" w:rsidRPr="006F1877" w:rsidRDefault="00A85409" w:rsidP="00881990">
            <w:pPr>
              <w:pStyle w:val="Paragrafoelenco"/>
              <w:numPr>
                <w:ilvl w:val="0"/>
                <w:numId w:val="1"/>
              </w:numPr>
              <w:spacing w:before="150" w:after="150" w:line="351" w:lineRule="atLeast"/>
              <w:ind w:left="851" w:right="566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Fallimento di una prima linea di chemioterapia</w:t>
            </w:r>
          </w:p>
          <w:p w:rsidR="00A85409" w:rsidRPr="006F1877" w:rsidRDefault="00A85409" w:rsidP="00881990">
            <w:pPr>
              <w:pStyle w:val="Paragrafoelenco"/>
              <w:numPr>
                <w:ilvl w:val="0"/>
                <w:numId w:val="1"/>
              </w:numPr>
              <w:spacing w:before="150" w:after="150" w:line="351" w:lineRule="atLeast"/>
              <w:ind w:left="851" w:right="566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Remissione Completa dopo II linea di induzione</w:t>
            </w:r>
          </w:p>
          <w:p w:rsidR="00A85409" w:rsidRPr="006F1877" w:rsidRDefault="00A85409" w:rsidP="00881990">
            <w:pPr>
              <w:pStyle w:val="Paragrafoelenco"/>
              <w:numPr>
                <w:ilvl w:val="0"/>
                <w:numId w:val="1"/>
              </w:numPr>
              <w:spacing w:before="150" w:after="150" w:line="351" w:lineRule="atLeast"/>
              <w:ind w:left="851" w:right="566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II remissione completa o precoce recidiva</w:t>
            </w:r>
          </w:p>
          <w:p w:rsidR="00A85409" w:rsidRPr="006F1877" w:rsidRDefault="00A85409" w:rsidP="00881990">
            <w:pPr>
              <w:pStyle w:val="Paragrafoelenco"/>
              <w:numPr>
                <w:ilvl w:val="0"/>
                <w:numId w:val="1"/>
              </w:numPr>
              <w:spacing w:before="150" w:after="150" w:line="351" w:lineRule="atLeast"/>
              <w:ind w:left="851" w:right="566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I remissione completa con alto rischio di recidiva per:</w:t>
            </w:r>
          </w:p>
          <w:p w:rsidR="00A85409" w:rsidRPr="006F1877" w:rsidRDefault="00A85409" w:rsidP="00881990">
            <w:pPr>
              <w:pStyle w:val="Paragrafoelenco"/>
              <w:numPr>
                <w:ilvl w:val="0"/>
                <w:numId w:val="1"/>
              </w:numPr>
              <w:spacing w:before="150" w:after="150" w:line="351" w:lineRule="atLeast"/>
              <w:ind w:left="851" w:right="566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alterazioni citogenetiche</w:t>
            </w:r>
          </w:p>
          <w:p w:rsidR="00A85409" w:rsidRPr="006F1877" w:rsidRDefault="00A85409" w:rsidP="00881990">
            <w:pPr>
              <w:pStyle w:val="Paragrafoelenco"/>
              <w:numPr>
                <w:ilvl w:val="0"/>
                <w:numId w:val="1"/>
              </w:numPr>
              <w:spacing w:before="150" w:after="150" w:line="351" w:lineRule="atLeast"/>
              <w:ind w:left="851" w:right="566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AML secondari</w:t>
            </w:r>
            <w:r w:rsidR="00303DE2" w:rsidRPr="006F18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a</w:t>
            </w:r>
            <w:r w:rsidRPr="006F18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a chemio e/o radioterapia</w:t>
            </w:r>
          </w:p>
          <w:p w:rsidR="00A85409" w:rsidRPr="006F1877" w:rsidRDefault="00A85409" w:rsidP="00881990">
            <w:pPr>
              <w:pStyle w:val="Paragrafoelenco"/>
              <w:numPr>
                <w:ilvl w:val="0"/>
                <w:numId w:val="1"/>
              </w:numPr>
              <w:spacing w:before="150" w:after="150" w:line="351" w:lineRule="atLeast"/>
              <w:ind w:left="851" w:right="566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AML secondaria a sindrome mielodisplastica</w:t>
            </w:r>
          </w:p>
          <w:p w:rsidR="00A85409" w:rsidRPr="006F1877" w:rsidRDefault="00A85409" w:rsidP="00881990">
            <w:pPr>
              <w:spacing w:before="150" w:after="150" w:line="351" w:lineRule="atLeast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Linfoma non Hodgkin e Linfoma di Hodgkin recidivato dopo trapianto autologo</w:t>
            </w:r>
          </w:p>
          <w:p w:rsidR="00303DE2" w:rsidRPr="006F1877" w:rsidRDefault="00303DE2" w:rsidP="00881990">
            <w:pPr>
              <w:spacing w:before="150" w:after="150" w:line="351" w:lineRule="atLeast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6F18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Leucemia Mieloide Cronica resistente agli inibitori Tirosin Kinasici</w:t>
            </w:r>
          </w:p>
          <w:p w:rsidR="00A85409" w:rsidRPr="006F1877" w:rsidRDefault="00A85409" w:rsidP="00881990">
            <w:pPr>
              <w:spacing w:before="150" w:after="150" w:line="351" w:lineRule="atLeast"/>
              <w:ind w:left="851" w:right="566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</w:tr>
    </w:tbl>
    <w:p w:rsidR="00EE17D0" w:rsidRPr="006F1877" w:rsidRDefault="00EE17D0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C30BEB" w:rsidRPr="006F1877" w:rsidRDefault="00C30BEB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C30BEB" w:rsidRPr="006F1877" w:rsidRDefault="00C30BEB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C30BEB" w:rsidRPr="006F1877" w:rsidRDefault="00C30BEB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C30BEB" w:rsidRPr="006F1877" w:rsidRDefault="00C30BEB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C30BEB" w:rsidRPr="006F1877" w:rsidRDefault="00C30BEB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C30BEB" w:rsidRPr="006F1877" w:rsidRDefault="00C30BEB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C30BEB" w:rsidRPr="006F1877" w:rsidRDefault="00C30BEB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C30BEB" w:rsidRPr="006F1877" w:rsidRDefault="00C30BEB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FA04E2" w:rsidRPr="006F1877" w:rsidRDefault="00FA04E2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1E5E43" w:rsidRPr="006F1877" w:rsidRDefault="001E5E43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FA04E2" w:rsidRPr="006F1877" w:rsidRDefault="00FA04E2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FA04E2" w:rsidRDefault="00FA04E2" w:rsidP="008F6FDD">
      <w:pPr>
        <w:spacing w:before="150" w:after="150" w:line="351" w:lineRule="atLeast"/>
        <w:ind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8F6FDD" w:rsidRPr="006F1877" w:rsidRDefault="008F6FDD" w:rsidP="008F6FDD">
      <w:pPr>
        <w:spacing w:before="150" w:after="150" w:line="351" w:lineRule="atLeast"/>
        <w:ind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C30BEB" w:rsidRPr="006F1877" w:rsidRDefault="00FA04E2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lastRenderedPageBreak/>
        <w:t>References</w:t>
      </w:r>
      <w:r w:rsidR="001E5E43" w:rsidRPr="006F187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:</w:t>
      </w:r>
    </w:p>
    <w:p w:rsidR="00DC4130" w:rsidRPr="006F1877" w:rsidRDefault="00DC4130" w:rsidP="00881990">
      <w:pPr>
        <w:pStyle w:val="Paragrafoelenco"/>
        <w:numPr>
          <w:ilvl w:val="0"/>
          <w:numId w:val="2"/>
        </w:numPr>
        <w:spacing w:before="150" w:after="150" w:line="351" w:lineRule="atLeast"/>
        <w:ind w:left="851" w:right="566" w:firstLine="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</w:pP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>Horton R. Gene map of the extended human major histocompatibility complex. Nature Reviews Genetics. 2004; 5: 889-99.</w:t>
      </w:r>
    </w:p>
    <w:p w:rsidR="00DC4130" w:rsidRPr="006F1877" w:rsidRDefault="00DC4130" w:rsidP="00881990">
      <w:pPr>
        <w:pStyle w:val="Paragrafoelenco"/>
        <w:numPr>
          <w:ilvl w:val="0"/>
          <w:numId w:val="2"/>
        </w:numPr>
        <w:spacing w:before="150" w:after="150" w:line="351" w:lineRule="atLeast"/>
        <w:ind w:left="851" w:right="566" w:firstLine="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</w:pP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 xml:space="preserve">Klein J, Sato A. HLA system. </w:t>
      </w:r>
      <w:r w:rsidRPr="006F187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it-IT"/>
        </w:rPr>
        <w:t>NEJM</w:t>
      </w: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 xml:space="preserve">. 2000; 343: 782-6. </w:t>
      </w:r>
    </w:p>
    <w:p w:rsidR="00AA27E7" w:rsidRPr="006F1877" w:rsidRDefault="00AA27E7" w:rsidP="00881990">
      <w:pPr>
        <w:pStyle w:val="Paragrafoelenco"/>
        <w:numPr>
          <w:ilvl w:val="0"/>
          <w:numId w:val="2"/>
        </w:numPr>
        <w:spacing w:before="150" w:after="150" w:line="351" w:lineRule="atLeast"/>
        <w:ind w:left="851" w:right="566" w:firstLine="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</w:pPr>
      <w:r w:rsidRPr="006F1877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 xml:space="preserve">Anasetti C, Beatty PG, Storb R, et al. </w:t>
      </w: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 xml:space="preserve">Effect of HLA incompatibility of graft-versus-host disease, relapse, and survival after marrow transplantation for patients with leukemia or lymphoma. </w:t>
      </w:r>
      <w:r w:rsidRPr="006F187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it-IT"/>
        </w:rPr>
        <w:t>Hum Immunol</w:t>
      </w: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>. 1990; 29: 79-91.</w:t>
      </w:r>
    </w:p>
    <w:p w:rsidR="00303DE2" w:rsidRPr="006F1877" w:rsidRDefault="00303DE2" w:rsidP="00881990">
      <w:pPr>
        <w:pStyle w:val="Paragrafoelenco"/>
        <w:numPr>
          <w:ilvl w:val="0"/>
          <w:numId w:val="2"/>
        </w:numPr>
        <w:spacing w:before="150" w:after="150" w:line="351" w:lineRule="atLeast"/>
        <w:ind w:left="851" w:right="566" w:firstLine="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</w:pP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 xml:space="preserve">O’Donnell PV, Luznik L, Jones RJ, et al. Non myeloablative bone marrow transplantation from partially HLA-mismatched related donors using posttransplantation cyclophosfamide. </w:t>
      </w:r>
      <w:r w:rsidRPr="006F187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it-IT"/>
        </w:rPr>
        <w:t>Biol Blood Marrow Transplant</w:t>
      </w: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>. 2002; 8: 377-86.</w:t>
      </w:r>
    </w:p>
    <w:p w:rsidR="00DC4130" w:rsidRPr="006F1877" w:rsidRDefault="00DC4130" w:rsidP="00881990">
      <w:pPr>
        <w:pStyle w:val="Paragrafoelenco"/>
        <w:numPr>
          <w:ilvl w:val="0"/>
          <w:numId w:val="2"/>
        </w:numPr>
        <w:spacing w:before="150" w:after="150" w:line="351" w:lineRule="atLeast"/>
        <w:ind w:left="851" w:right="566" w:firstLine="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</w:pPr>
      <w:r w:rsidRPr="006F1877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 xml:space="preserve">Aversa F, Tabilio A, Velardi A, et al. </w:t>
      </w: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 xml:space="preserve">Treatment of high risk acute leukemia with T-cell depleted stem cells from related donors with one fully mismatched HLA haplotype. </w:t>
      </w:r>
      <w:r w:rsidRPr="006F187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it-IT"/>
        </w:rPr>
        <w:t>NEJM.</w:t>
      </w: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>1998; 339: 1186-93.</w:t>
      </w:r>
    </w:p>
    <w:p w:rsidR="00DC4130" w:rsidRPr="006F1877" w:rsidRDefault="00DC4130" w:rsidP="00881990">
      <w:pPr>
        <w:pStyle w:val="Paragrafoelenco"/>
        <w:numPr>
          <w:ilvl w:val="0"/>
          <w:numId w:val="2"/>
        </w:numPr>
        <w:spacing w:before="150" w:after="150" w:line="351" w:lineRule="atLeast"/>
        <w:ind w:left="851" w:right="566" w:firstLine="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</w:pPr>
      <w:r w:rsidRPr="006F1877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 xml:space="preserve">Aversa F, Terenzi A, Tabilio A, et al. </w:t>
      </w: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 xml:space="preserve">Full haplotype mismatched hematopoietic stem cell transplantation: a phase II study in patients with acute leukemia at high risk of relapse. </w:t>
      </w:r>
      <w:r w:rsidRPr="006F187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it-IT"/>
        </w:rPr>
        <w:t>JCO</w:t>
      </w: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 xml:space="preserve"> 2005; 23: 3447-3454.</w:t>
      </w:r>
    </w:p>
    <w:p w:rsidR="00AA27E7" w:rsidRPr="006F1877" w:rsidRDefault="00AA27E7" w:rsidP="00881990">
      <w:pPr>
        <w:pStyle w:val="Paragrafoelenco"/>
        <w:numPr>
          <w:ilvl w:val="0"/>
          <w:numId w:val="2"/>
        </w:numPr>
        <w:spacing w:before="150" w:after="150" w:line="351" w:lineRule="atLeast"/>
        <w:ind w:left="851" w:right="566" w:firstLine="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</w:pP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 xml:space="preserve">Luznik L, O’Donnell P, Symons H F, et al. HLA- Haploidentical Bone Marrow Transplantation for Hematologic Malignancies Using Nonmyeloablative conditioning and high-dose, posttransplantation Cyclophosphamide. </w:t>
      </w:r>
      <w:r w:rsidRPr="006F187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it-IT"/>
        </w:rPr>
        <w:t>Biology and Blood and Marrow Transplantation</w:t>
      </w: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>. 2008;14: 641-50.</w:t>
      </w:r>
    </w:p>
    <w:p w:rsidR="00DC4130" w:rsidRPr="006F1877" w:rsidRDefault="00DC4130" w:rsidP="00881990">
      <w:pPr>
        <w:pStyle w:val="Paragrafoelenco"/>
        <w:numPr>
          <w:ilvl w:val="0"/>
          <w:numId w:val="2"/>
        </w:numPr>
        <w:spacing w:before="150" w:after="150" w:line="351" w:lineRule="atLeast"/>
        <w:ind w:left="851" w:right="566" w:firstLine="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</w:pP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 xml:space="preserve">Mayumi H, Umesue M, Nomoto K. Ciclophospahamide-induced immunological tolerance: an overview. </w:t>
      </w:r>
      <w:r w:rsidRPr="006F187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it-IT"/>
        </w:rPr>
        <w:t>Immunobiology</w:t>
      </w: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>. 1996; 195:129-39.</w:t>
      </w:r>
    </w:p>
    <w:p w:rsidR="00AA27E7" w:rsidRPr="006F1877" w:rsidRDefault="00AA27E7" w:rsidP="00881990">
      <w:pPr>
        <w:pStyle w:val="Paragrafoelenco"/>
        <w:numPr>
          <w:ilvl w:val="0"/>
          <w:numId w:val="2"/>
        </w:numPr>
        <w:spacing w:before="150" w:after="150" w:line="351" w:lineRule="atLeast"/>
        <w:ind w:left="851" w:right="566" w:firstLine="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</w:pP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 xml:space="preserve">Luznik L, Bolanos-Meade J, Zahurak M, et al. High-dose Cyclophosphamide as single-agent, short course prophylaxis of graft versus host disease. </w:t>
      </w:r>
      <w:r w:rsidRPr="006F187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it-IT"/>
        </w:rPr>
        <w:t>Blood</w:t>
      </w: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>. 2010; 16: 3224-30.</w:t>
      </w:r>
    </w:p>
    <w:p w:rsidR="009157AD" w:rsidRPr="006F1877" w:rsidRDefault="009157AD" w:rsidP="00881990">
      <w:pPr>
        <w:pStyle w:val="Paragrafoelenco"/>
        <w:numPr>
          <w:ilvl w:val="0"/>
          <w:numId w:val="2"/>
        </w:numPr>
        <w:spacing w:before="150" w:after="150" w:line="351" w:lineRule="atLeast"/>
        <w:ind w:left="851" w:right="566" w:firstLine="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</w:pP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 xml:space="preserve">Waller EK, Giver CR, Rosenthal H, et al. Facilitating T-cell immune reconstitution after haploidentical transplantation in adults. </w:t>
      </w:r>
      <w:r w:rsidRPr="006F187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it-IT"/>
        </w:rPr>
        <w:t>Blood Cells Mol Dis</w:t>
      </w:r>
      <w:r w:rsidRPr="006F1877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>. 2004; 33: 233-7.</w:t>
      </w:r>
    </w:p>
    <w:p w:rsidR="00DC4130" w:rsidRPr="006F1877" w:rsidRDefault="00DC4130" w:rsidP="00881990">
      <w:pPr>
        <w:spacing w:before="150" w:after="150" w:line="351" w:lineRule="atLeast"/>
        <w:ind w:left="851" w:right="566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</w:pPr>
    </w:p>
    <w:sectPr w:rsidR="00DC4130" w:rsidRPr="006F1877" w:rsidSect="00600997"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7F09" w:rsidRDefault="003E7F09" w:rsidP="00303DE2">
      <w:pPr>
        <w:spacing w:after="0" w:line="240" w:lineRule="auto"/>
      </w:pPr>
      <w:r>
        <w:separator/>
      </w:r>
    </w:p>
  </w:endnote>
  <w:endnote w:type="continuationSeparator" w:id="1">
    <w:p w:rsidR="003E7F09" w:rsidRDefault="003E7F09" w:rsidP="00303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340342"/>
      <w:docPartObj>
        <w:docPartGallery w:val="Page Numbers (Bottom of Page)"/>
        <w:docPartUnique/>
      </w:docPartObj>
    </w:sdtPr>
    <w:sdtContent>
      <w:p w:rsidR="00303DE2" w:rsidRDefault="00A90B68">
        <w:pPr>
          <w:pStyle w:val="Pidipagina"/>
          <w:jc w:val="right"/>
        </w:pPr>
        <w:fldSimple w:instr=" PAGE   \* MERGEFORMAT ">
          <w:r w:rsidR="008F6FDD">
            <w:rPr>
              <w:noProof/>
            </w:rPr>
            <w:t>12</w:t>
          </w:r>
        </w:fldSimple>
      </w:p>
    </w:sdtContent>
  </w:sdt>
  <w:p w:rsidR="00303DE2" w:rsidRDefault="00303DE2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7F09" w:rsidRDefault="003E7F09" w:rsidP="00303DE2">
      <w:pPr>
        <w:spacing w:after="0" w:line="240" w:lineRule="auto"/>
      </w:pPr>
      <w:r>
        <w:separator/>
      </w:r>
    </w:p>
  </w:footnote>
  <w:footnote w:type="continuationSeparator" w:id="1">
    <w:p w:rsidR="003E7F09" w:rsidRDefault="003E7F09" w:rsidP="00303D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92094"/>
    <w:multiLevelType w:val="hybridMultilevel"/>
    <w:tmpl w:val="FB2A35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924295"/>
    <w:multiLevelType w:val="hybridMultilevel"/>
    <w:tmpl w:val="2A123E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325304"/>
    <w:multiLevelType w:val="hybridMultilevel"/>
    <w:tmpl w:val="49D020E8"/>
    <w:lvl w:ilvl="0" w:tplc="A9B05D80">
      <w:start w:val="1"/>
      <w:numFmt w:val="upperLetter"/>
      <w:lvlText w:val="%1)"/>
      <w:lvlJc w:val="left"/>
      <w:pPr>
        <w:ind w:left="1226" w:hanging="3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444A"/>
    <w:rsid w:val="00053576"/>
    <w:rsid w:val="00083C1B"/>
    <w:rsid w:val="00084FCE"/>
    <w:rsid w:val="000971A4"/>
    <w:rsid w:val="000C0E4D"/>
    <w:rsid w:val="000E00DA"/>
    <w:rsid w:val="00112BF5"/>
    <w:rsid w:val="001737C8"/>
    <w:rsid w:val="00187C5D"/>
    <w:rsid w:val="0019489C"/>
    <w:rsid w:val="001A1706"/>
    <w:rsid w:val="001A2047"/>
    <w:rsid w:val="001A6694"/>
    <w:rsid w:val="001E5E43"/>
    <w:rsid w:val="002220A6"/>
    <w:rsid w:val="00222E75"/>
    <w:rsid w:val="0023303D"/>
    <w:rsid w:val="00265453"/>
    <w:rsid w:val="0026595C"/>
    <w:rsid w:val="00266DEA"/>
    <w:rsid w:val="00276998"/>
    <w:rsid w:val="002A064E"/>
    <w:rsid w:val="00303DE2"/>
    <w:rsid w:val="00306ECA"/>
    <w:rsid w:val="00320514"/>
    <w:rsid w:val="00353962"/>
    <w:rsid w:val="00371B56"/>
    <w:rsid w:val="003B14F9"/>
    <w:rsid w:val="003C4B8C"/>
    <w:rsid w:val="003E6F16"/>
    <w:rsid w:val="003E7A70"/>
    <w:rsid w:val="003E7F09"/>
    <w:rsid w:val="0041139D"/>
    <w:rsid w:val="00414614"/>
    <w:rsid w:val="004542C2"/>
    <w:rsid w:val="004622A2"/>
    <w:rsid w:val="0046315F"/>
    <w:rsid w:val="0046358C"/>
    <w:rsid w:val="00476A3E"/>
    <w:rsid w:val="004805D7"/>
    <w:rsid w:val="004A14D7"/>
    <w:rsid w:val="004C6948"/>
    <w:rsid w:val="004D7431"/>
    <w:rsid w:val="00500238"/>
    <w:rsid w:val="00520120"/>
    <w:rsid w:val="00542D20"/>
    <w:rsid w:val="00545559"/>
    <w:rsid w:val="0058081A"/>
    <w:rsid w:val="005839D9"/>
    <w:rsid w:val="005B6CB3"/>
    <w:rsid w:val="005C46C3"/>
    <w:rsid w:val="005D779A"/>
    <w:rsid w:val="00600997"/>
    <w:rsid w:val="00604D68"/>
    <w:rsid w:val="00605808"/>
    <w:rsid w:val="006067FB"/>
    <w:rsid w:val="006234CC"/>
    <w:rsid w:val="006265FF"/>
    <w:rsid w:val="00660508"/>
    <w:rsid w:val="006717DA"/>
    <w:rsid w:val="00672ACD"/>
    <w:rsid w:val="0068358C"/>
    <w:rsid w:val="006D1C39"/>
    <w:rsid w:val="006F1877"/>
    <w:rsid w:val="007004A9"/>
    <w:rsid w:val="00705177"/>
    <w:rsid w:val="00744D3A"/>
    <w:rsid w:val="0074636B"/>
    <w:rsid w:val="0075616E"/>
    <w:rsid w:val="007A0202"/>
    <w:rsid w:val="007B50C2"/>
    <w:rsid w:val="007D0E19"/>
    <w:rsid w:val="008442CA"/>
    <w:rsid w:val="008566AA"/>
    <w:rsid w:val="00874FD1"/>
    <w:rsid w:val="00881990"/>
    <w:rsid w:val="008875BC"/>
    <w:rsid w:val="00894CFC"/>
    <w:rsid w:val="008F6FDD"/>
    <w:rsid w:val="00904CAF"/>
    <w:rsid w:val="009157AD"/>
    <w:rsid w:val="00926F2B"/>
    <w:rsid w:val="009541EB"/>
    <w:rsid w:val="009617EE"/>
    <w:rsid w:val="009706BD"/>
    <w:rsid w:val="009D237D"/>
    <w:rsid w:val="00A07FB9"/>
    <w:rsid w:val="00A12E6D"/>
    <w:rsid w:val="00A354A7"/>
    <w:rsid w:val="00A52DEB"/>
    <w:rsid w:val="00A670B3"/>
    <w:rsid w:val="00A73806"/>
    <w:rsid w:val="00A759A4"/>
    <w:rsid w:val="00A85409"/>
    <w:rsid w:val="00A86674"/>
    <w:rsid w:val="00A90B68"/>
    <w:rsid w:val="00A93C64"/>
    <w:rsid w:val="00A97A4A"/>
    <w:rsid w:val="00AA27E7"/>
    <w:rsid w:val="00AC087B"/>
    <w:rsid w:val="00AE7ED9"/>
    <w:rsid w:val="00B0000E"/>
    <w:rsid w:val="00B01C34"/>
    <w:rsid w:val="00B24228"/>
    <w:rsid w:val="00B24ED5"/>
    <w:rsid w:val="00B26A1E"/>
    <w:rsid w:val="00B561FE"/>
    <w:rsid w:val="00B60F4F"/>
    <w:rsid w:val="00B708AF"/>
    <w:rsid w:val="00B72E79"/>
    <w:rsid w:val="00BD58DC"/>
    <w:rsid w:val="00BD6B3E"/>
    <w:rsid w:val="00BE1F83"/>
    <w:rsid w:val="00BF444A"/>
    <w:rsid w:val="00C030EB"/>
    <w:rsid w:val="00C30BEB"/>
    <w:rsid w:val="00C46CF7"/>
    <w:rsid w:val="00C5240F"/>
    <w:rsid w:val="00C538FC"/>
    <w:rsid w:val="00C83C49"/>
    <w:rsid w:val="00CC01C8"/>
    <w:rsid w:val="00CD0EF7"/>
    <w:rsid w:val="00CD14EC"/>
    <w:rsid w:val="00CD2813"/>
    <w:rsid w:val="00D1403C"/>
    <w:rsid w:val="00D17E21"/>
    <w:rsid w:val="00D42D3A"/>
    <w:rsid w:val="00D47111"/>
    <w:rsid w:val="00D5260F"/>
    <w:rsid w:val="00D70D3E"/>
    <w:rsid w:val="00D845A2"/>
    <w:rsid w:val="00DC4130"/>
    <w:rsid w:val="00DD3FFE"/>
    <w:rsid w:val="00DF1154"/>
    <w:rsid w:val="00E24BE6"/>
    <w:rsid w:val="00E42777"/>
    <w:rsid w:val="00E86E31"/>
    <w:rsid w:val="00EA0A06"/>
    <w:rsid w:val="00EA6DB2"/>
    <w:rsid w:val="00EA7A93"/>
    <w:rsid w:val="00EB0CA4"/>
    <w:rsid w:val="00EB3840"/>
    <w:rsid w:val="00EC61CF"/>
    <w:rsid w:val="00EE17D0"/>
    <w:rsid w:val="00F30A50"/>
    <w:rsid w:val="00F523BF"/>
    <w:rsid w:val="00F70479"/>
    <w:rsid w:val="00F7536A"/>
    <w:rsid w:val="00F907E8"/>
    <w:rsid w:val="00F934D5"/>
    <w:rsid w:val="00FA04E2"/>
    <w:rsid w:val="00FB5CD4"/>
    <w:rsid w:val="00FD542C"/>
    <w:rsid w:val="00FF6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099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CD0EF7"/>
    <w:rPr>
      <w:b/>
      <w:bCs/>
    </w:rPr>
  </w:style>
  <w:style w:type="character" w:styleId="Enfasicorsivo">
    <w:name w:val="Emphasis"/>
    <w:basedOn w:val="Carpredefinitoparagrafo"/>
    <w:uiPriority w:val="20"/>
    <w:qFormat/>
    <w:rsid w:val="00CD0EF7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0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0EF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AE7E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A85409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B14F9"/>
    <w:rPr>
      <w:color w:val="0000FF" w:themeColor="hyperlink"/>
      <w:u w:val="single"/>
    </w:rPr>
  </w:style>
  <w:style w:type="character" w:customStyle="1" w:styleId="hps">
    <w:name w:val="hps"/>
    <w:basedOn w:val="Carpredefinitoparagrafo"/>
    <w:rsid w:val="000E00DA"/>
  </w:style>
  <w:style w:type="paragraph" w:styleId="Intestazione">
    <w:name w:val="header"/>
    <w:basedOn w:val="Normale"/>
    <w:link w:val="IntestazioneCarattere"/>
    <w:uiPriority w:val="99"/>
    <w:semiHidden/>
    <w:unhideWhenUsed/>
    <w:rsid w:val="00303D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03DE2"/>
  </w:style>
  <w:style w:type="paragraph" w:styleId="Pidipagina">
    <w:name w:val="footer"/>
    <w:basedOn w:val="Normale"/>
    <w:link w:val="PidipaginaCarattere"/>
    <w:uiPriority w:val="99"/>
    <w:unhideWhenUsed/>
    <w:rsid w:val="00303D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3DE2"/>
  </w:style>
  <w:style w:type="paragraph" w:styleId="Testonormale">
    <w:name w:val="Plain Text"/>
    <w:basedOn w:val="Normale"/>
    <w:link w:val="TestonormaleCarattere"/>
    <w:unhideWhenUsed/>
    <w:rsid w:val="00F523B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F523BF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E4277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webitembody1">
    <w:name w:val="webitembody1"/>
    <w:basedOn w:val="Carpredefinitoparagrafo"/>
    <w:rsid w:val="002A064E"/>
    <w:rPr>
      <w:rFonts w:ascii="Arial" w:hAnsi="Arial" w:cs="Arial" w:hint="default"/>
      <w:b w:val="0"/>
      <w:bCs w:val="0"/>
      <w:strike w:val="0"/>
      <w:dstrike w:val="0"/>
      <w:color w:val="000000"/>
      <w:sz w:val="20"/>
      <w:szCs w:val="20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3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1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4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0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65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69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665136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84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4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377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74195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spmessina@virgili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package" Target="embeddings/Diapositiva_di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ADAAB-344F-49BB-A8F0-0BD5FB019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13</Pages>
  <Words>2899</Words>
  <Characters>16525</Characters>
  <Application>Microsoft Office Word</Application>
  <DocSecurity>0</DocSecurity>
  <Lines>137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g.messina</dc:creator>
  <cp:lastModifiedBy> </cp:lastModifiedBy>
  <cp:revision>48</cp:revision>
  <cp:lastPrinted>2012-04-13T12:24:00Z</cp:lastPrinted>
  <dcterms:created xsi:type="dcterms:W3CDTF">2012-04-13T11:22:00Z</dcterms:created>
  <dcterms:modified xsi:type="dcterms:W3CDTF">2012-05-07T10:53:00Z</dcterms:modified>
</cp:coreProperties>
</file>